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61D43" w14:textId="77777777" w:rsidR="00F5171C" w:rsidRDefault="00F5171C" w:rsidP="00F5171C"/>
    <w:p w14:paraId="353D6430" w14:textId="77777777" w:rsidR="00F5171C" w:rsidRDefault="00F5171C" w:rsidP="00F5171C"/>
    <w:p w14:paraId="0F395EE8" w14:textId="77777777" w:rsidR="00F5171C" w:rsidRDefault="00F5171C" w:rsidP="00F5171C"/>
    <w:p w14:paraId="26FA991D" w14:textId="77777777" w:rsidR="00F5171C" w:rsidRDefault="00F5171C" w:rsidP="00F5171C"/>
    <w:p w14:paraId="3FC2FEF9" w14:textId="6E088FB9" w:rsidR="00F5171C" w:rsidRDefault="00AC3D29" w:rsidP="00F5171C">
      <w:r w:rsidRPr="00AC3D29">
        <w:rPr>
          <w:sz w:val="32"/>
          <w:szCs w:val="32"/>
        </w:rPr>
        <w:t xml:space="preserve">7.1.1. Implementation of the 3rd Energy Package for gas, and of the electricity integration package  </w:t>
      </w:r>
    </w:p>
    <w:tbl>
      <w:tblPr>
        <w:tblStyle w:val="GridTable1Light"/>
        <w:tblW w:w="8926" w:type="dxa"/>
        <w:tblLook w:val="0400" w:firstRow="0" w:lastRow="0" w:firstColumn="0" w:lastColumn="0" w:noHBand="0" w:noVBand="1"/>
      </w:tblPr>
      <w:tblGrid>
        <w:gridCol w:w="2122"/>
        <w:gridCol w:w="6804"/>
      </w:tblGrid>
      <w:tr w:rsidR="00F5171C" w:rsidRPr="002C702E" w14:paraId="6098AF4C" w14:textId="77777777" w:rsidTr="00034CCB">
        <w:trPr>
          <w:trHeight w:val="399"/>
        </w:trPr>
        <w:tc>
          <w:tcPr>
            <w:tcW w:w="2122" w:type="dxa"/>
            <w:shd w:val="clear" w:color="auto" w:fill="0E2841" w:themeFill="text2"/>
          </w:tcPr>
          <w:p w14:paraId="36BC73E5" w14:textId="77777777" w:rsidR="00F5171C" w:rsidRPr="002C702E" w:rsidRDefault="00F5171C" w:rsidP="00034CCB">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76B6DF12" w14:textId="77777777" w:rsidR="00F5171C" w:rsidRPr="008A26A0" w:rsidRDefault="00F5171C" w:rsidP="00034CCB">
            <w:pPr>
              <w:spacing w:before="120" w:after="120"/>
              <w:rPr>
                <w:rFonts w:ascii="Aptos" w:eastAsia="Times New Roman" w:hAnsi="Aptos" w:cs="Times New Roman"/>
                <w:color w:val="000000"/>
                <w:kern w:val="0"/>
                <w:sz w:val="20"/>
                <w:szCs w:val="20"/>
                <w:lang w:val="en-GB" w:eastAsia="en-GB"/>
                <w14:ligatures w14:val="none"/>
              </w:rPr>
            </w:pPr>
            <w:r w:rsidRPr="008A26A0">
              <w:rPr>
                <w:rFonts w:ascii="Aptos" w:eastAsia="Times New Roman" w:hAnsi="Aptos" w:cs="Times New Roman"/>
                <w:color w:val="000000"/>
                <w:kern w:val="0"/>
                <w:sz w:val="20"/>
                <w:szCs w:val="20"/>
                <w:lang w:val="en-GB" w:eastAsia="en-GB"/>
                <w14:ligatures w14:val="none"/>
              </w:rPr>
              <w:t xml:space="preserve">7.1. </w:t>
            </w:r>
            <w:r w:rsidRPr="008A26A0">
              <w:rPr>
                <w:sz w:val="20"/>
                <w:szCs w:val="20"/>
              </w:rPr>
              <w:t>Energy sector transformation</w:t>
            </w:r>
          </w:p>
        </w:tc>
      </w:tr>
      <w:tr w:rsidR="00F5171C" w:rsidRPr="002C702E" w14:paraId="0D62B0C4" w14:textId="77777777" w:rsidTr="00034CCB">
        <w:trPr>
          <w:trHeight w:val="393"/>
        </w:trPr>
        <w:tc>
          <w:tcPr>
            <w:tcW w:w="2122" w:type="dxa"/>
            <w:shd w:val="clear" w:color="auto" w:fill="0E2841" w:themeFill="text2"/>
          </w:tcPr>
          <w:p w14:paraId="5C89D6E4" w14:textId="77777777" w:rsidR="00F5171C" w:rsidRPr="002C702E" w:rsidRDefault="00F5171C" w:rsidP="00034CCB">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2F05D254" w14:textId="77777777" w:rsidR="00F5171C" w:rsidRPr="008A26A0" w:rsidRDefault="00F5171C" w:rsidP="00034CCB">
            <w:pPr>
              <w:spacing w:before="120" w:after="120"/>
              <w:rPr>
                <w:rFonts w:ascii="Aptos" w:eastAsia="Times New Roman" w:hAnsi="Aptos" w:cs="Times New Roman"/>
                <w:color w:val="000000"/>
                <w:kern w:val="0"/>
                <w:sz w:val="20"/>
                <w:szCs w:val="20"/>
                <w:lang w:val="en-GB" w:eastAsia="en-GB"/>
                <w14:ligatures w14:val="none"/>
              </w:rPr>
            </w:pPr>
            <w:r>
              <w:rPr>
                <w:sz w:val="20"/>
                <w:szCs w:val="20"/>
              </w:rPr>
              <w:t xml:space="preserve">7.1.1. </w:t>
            </w:r>
            <w:r w:rsidRPr="0056029A">
              <w:rPr>
                <w:sz w:val="20"/>
                <w:szCs w:val="20"/>
              </w:rPr>
              <w:t xml:space="preserve">Implementation of the 3rd Energy Package for gas, and of the electricity integration package  </w:t>
            </w:r>
          </w:p>
        </w:tc>
      </w:tr>
      <w:tr w:rsidR="00F13AEE" w:rsidRPr="002C702E" w14:paraId="718ADD6C" w14:textId="77777777" w:rsidTr="00034CCB">
        <w:trPr>
          <w:trHeight w:val="393"/>
        </w:trPr>
        <w:tc>
          <w:tcPr>
            <w:tcW w:w="2122" w:type="dxa"/>
            <w:shd w:val="clear" w:color="auto" w:fill="0E2841" w:themeFill="text2"/>
          </w:tcPr>
          <w:p w14:paraId="1E241749" w14:textId="77777777" w:rsidR="00F13AEE" w:rsidRPr="00B76C09" w:rsidRDefault="00F13AEE" w:rsidP="00F13AEE">
            <w:pPr>
              <w:spacing w:before="120" w:after="120"/>
              <w:rPr>
                <w:b/>
                <w:bCs/>
                <w:sz w:val="20"/>
                <w:szCs w:val="20"/>
              </w:rPr>
            </w:pPr>
            <w:r w:rsidRPr="00B76C09">
              <w:rPr>
                <w:b/>
                <w:bCs/>
                <w:sz w:val="20"/>
                <w:szCs w:val="20"/>
              </w:rPr>
              <w:t>Reporting indicator</w:t>
            </w:r>
          </w:p>
        </w:tc>
        <w:tc>
          <w:tcPr>
            <w:tcW w:w="6804" w:type="dxa"/>
            <w:shd w:val="clear" w:color="auto" w:fill="DAE9F7" w:themeFill="text2" w:themeFillTint="1A"/>
          </w:tcPr>
          <w:p w14:paraId="699E1B51" w14:textId="3436A263" w:rsidR="00F13AEE" w:rsidRPr="00B76C09" w:rsidRDefault="00F13AEE" w:rsidP="00F13AEE">
            <w:pPr>
              <w:spacing w:before="120" w:after="120"/>
              <w:rPr>
                <w:sz w:val="20"/>
                <w:szCs w:val="20"/>
              </w:rPr>
            </w:pPr>
            <w:r w:rsidRPr="00B76C09">
              <w:rPr>
                <w:sz w:val="20"/>
                <w:szCs w:val="20"/>
              </w:rPr>
              <w:t>Status of legal and regulatory framework</w:t>
            </w:r>
          </w:p>
        </w:tc>
      </w:tr>
      <w:tr w:rsidR="00F13AEE" w:rsidRPr="002C702E" w14:paraId="7CCAF74E" w14:textId="77777777" w:rsidTr="00034CCB">
        <w:trPr>
          <w:trHeight w:val="759"/>
        </w:trPr>
        <w:tc>
          <w:tcPr>
            <w:tcW w:w="2122" w:type="dxa"/>
            <w:shd w:val="clear" w:color="auto" w:fill="0E2841" w:themeFill="text2"/>
          </w:tcPr>
          <w:p w14:paraId="775D60C2" w14:textId="77777777" w:rsidR="00F13AEE" w:rsidRPr="002C702E" w:rsidRDefault="00F13AEE" w:rsidP="00F13AEE">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5455DB4D" w14:textId="7EC87C3C" w:rsidR="00F13AEE" w:rsidRPr="00413087" w:rsidRDefault="00F13AEE" w:rsidP="00413087">
            <w:pPr>
              <w:pStyle w:val="ListParagraph"/>
              <w:numPr>
                <w:ilvl w:val="0"/>
                <w:numId w:val="16"/>
              </w:numPr>
              <w:spacing w:before="120" w:after="120"/>
              <w:rPr>
                <w:rFonts w:ascii="Aptos" w:eastAsia="Times New Roman" w:hAnsi="Aptos" w:cs="Times New Roman"/>
                <w:color w:val="000000"/>
                <w:kern w:val="0"/>
                <w:sz w:val="20"/>
                <w:szCs w:val="20"/>
                <w:lang w:val="en-GB" w:eastAsia="en-GB"/>
                <w14:ligatures w14:val="none"/>
              </w:rPr>
            </w:pPr>
            <w:r w:rsidRPr="00413087">
              <w:rPr>
                <w:rFonts w:ascii="Aptos" w:eastAsia="Times New Roman" w:hAnsi="Aptos" w:cs="Times New Roman"/>
                <w:color w:val="000000"/>
                <w:kern w:val="0"/>
                <w:sz w:val="20"/>
                <w:szCs w:val="20"/>
                <w:lang w:val="en-GB" w:eastAsia="en-GB"/>
                <w14:ligatures w14:val="none"/>
              </w:rPr>
              <w:t>Allocation of capacities at Horgos and IBS border points is opened</w:t>
            </w:r>
          </w:p>
        </w:tc>
      </w:tr>
      <w:tr w:rsidR="00F13AEE" w:rsidRPr="002C702E" w14:paraId="7B2F0591" w14:textId="77777777" w:rsidTr="00034CCB">
        <w:trPr>
          <w:trHeight w:val="559"/>
        </w:trPr>
        <w:tc>
          <w:tcPr>
            <w:tcW w:w="2122" w:type="dxa"/>
            <w:shd w:val="clear" w:color="auto" w:fill="0E2841" w:themeFill="text2"/>
          </w:tcPr>
          <w:p w14:paraId="117E5F7A" w14:textId="77777777" w:rsidR="00F13AEE" w:rsidRPr="002C702E" w:rsidRDefault="00F13AEE" w:rsidP="00F13AEE">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382193C7" w14:textId="77777777" w:rsidR="00F13AEE" w:rsidRPr="002C702E" w:rsidRDefault="00F13AEE" w:rsidP="00F13AEE">
            <w:pPr>
              <w:spacing w:before="120" w:after="120"/>
              <w:rPr>
                <w:rFonts w:ascii="Aptos" w:eastAsia="Times New Roman" w:hAnsi="Aptos" w:cs="Times New Roman"/>
                <w:color w:val="000000"/>
                <w:kern w:val="0"/>
                <w:sz w:val="20"/>
                <w:szCs w:val="20"/>
                <w:lang w:val="en-GB" w:eastAsia="en-GB"/>
                <w14:ligatures w14:val="none"/>
              </w:rPr>
            </w:pPr>
            <w:r>
              <w:rPr>
                <w:rFonts w:ascii="Aptos" w:eastAsia="Times New Roman" w:hAnsi="Aptos" w:cs="Times New Roman"/>
                <w:color w:val="000000"/>
                <w:kern w:val="0"/>
                <w:sz w:val="20"/>
                <w:szCs w:val="20"/>
                <w:lang w:val="en-GB" w:eastAsia="en-GB"/>
                <w14:ligatures w14:val="none"/>
              </w:rPr>
              <w:t>June</w:t>
            </w:r>
            <w:r w:rsidRPr="002C702E">
              <w:rPr>
                <w:rFonts w:ascii="Aptos" w:eastAsia="Times New Roman" w:hAnsi="Aptos" w:cs="Times New Roman"/>
                <w:color w:val="000000"/>
                <w:kern w:val="0"/>
                <w:sz w:val="20"/>
                <w:szCs w:val="20"/>
                <w:lang w:val="en-GB" w:eastAsia="en-GB"/>
                <w14:ligatures w14:val="none"/>
              </w:rPr>
              <w:t xml:space="preserve"> 2025</w:t>
            </w:r>
          </w:p>
        </w:tc>
      </w:tr>
      <w:tr w:rsidR="00F13AEE" w:rsidRPr="002C702E" w14:paraId="0D1F5670" w14:textId="77777777" w:rsidTr="00034CCB">
        <w:trPr>
          <w:trHeight w:val="553"/>
        </w:trPr>
        <w:tc>
          <w:tcPr>
            <w:tcW w:w="2122" w:type="dxa"/>
            <w:shd w:val="clear" w:color="auto" w:fill="0E2841" w:themeFill="text2"/>
          </w:tcPr>
          <w:p w14:paraId="55F5886E" w14:textId="77777777" w:rsidR="00F13AEE" w:rsidRPr="002C702E" w:rsidRDefault="00F13AEE" w:rsidP="00F13AEE">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477FCE6F" w14:textId="77777777" w:rsidR="00F13AEE" w:rsidRPr="008A26A0" w:rsidRDefault="00F13AEE" w:rsidP="00F13AEE">
            <w:pPr>
              <w:spacing w:before="120" w:after="120"/>
              <w:rPr>
                <w:rFonts w:ascii="Aptos" w:eastAsia="Times New Roman" w:hAnsi="Aptos" w:cs="Times New Roman"/>
                <w:color w:val="000000"/>
                <w:kern w:val="0"/>
                <w:sz w:val="20"/>
                <w:szCs w:val="20"/>
                <w:lang w:val="en-GB" w:eastAsia="en-GB"/>
                <w14:ligatures w14:val="none"/>
              </w:rPr>
            </w:pPr>
            <w:r w:rsidRPr="00D42CC5">
              <w:rPr>
                <w:sz w:val="20"/>
                <w:szCs w:val="20"/>
              </w:rPr>
              <w:t xml:space="preserve">20,381,435.06 </w:t>
            </w:r>
          </w:p>
        </w:tc>
      </w:tr>
      <w:tr w:rsidR="00F13AEE" w:rsidRPr="002C702E" w14:paraId="7C9681FA" w14:textId="77777777" w:rsidTr="00034CCB">
        <w:trPr>
          <w:trHeight w:val="535"/>
        </w:trPr>
        <w:tc>
          <w:tcPr>
            <w:tcW w:w="2122" w:type="dxa"/>
            <w:shd w:val="clear" w:color="auto" w:fill="0E2841" w:themeFill="text2"/>
          </w:tcPr>
          <w:p w14:paraId="0643BF90" w14:textId="77777777" w:rsidR="00F13AEE" w:rsidRPr="002C702E" w:rsidRDefault="00F13AEE" w:rsidP="00F13AEE">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7018A59E" w14:textId="77777777" w:rsidR="00F13AEE" w:rsidRPr="002C702E" w:rsidRDefault="00F13AEE" w:rsidP="00F13AEE">
            <w:pPr>
              <w:spacing w:before="120" w:after="120"/>
              <w:rPr>
                <w:rFonts w:ascii="Aptos" w:eastAsia="Times New Roman" w:hAnsi="Aptos" w:cs="Times New Roman"/>
                <w:color w:val="000000"/>
                <w:kern w:val="0"/>
                <w:sz w:val="20"/>
                <w:szCs w:val="20"/>
                <w:lang w:val="en-GB" w:eastAsia="en-GB"/>
                <w14:ligatures w14:val="none"/>
              </w:rPr>
            </w:pPr>
            <w:r w:rsidRPr="008C7E94">
              <w:rPr>
                <w:rFonts w:ascii="Aptos" w:eastAsia="Times New Roman" w:hAnsi="Aptos" w:cs="Times New Roman"/>
                <w:color w:val="000000"/>
                <w:kern w:val="0"/>
                <w:sz w:val="20"/>
                <w:szCs w:val="20"/>
                <w:lang w:val="en-GB" w:eastAsia="en-GB"/>
                <w14:ligatures w14:val="none"/>
              </w:rPr>
              <w:t xml:space="preserve">Ministry of Mining and Energy and Energy Agency of the Republic of Serbia (AERS) </w:t>
            </w:r>
          </w:p>
        </w:tc>
      </w:tr>
      <w:tr w:rsidR="00F13AEE" w:rsidRPr="002C702E" w14:paraId="645E40E9" w14:textId="77777777" w:rsidTr="00034CCB">
        <w:trPr>
          <w:trHeight w:val="583"/>
        </w:trPr>
        <w:tc>
          <w:tcPr>
            <w:tcW w:w="2122" w:type="dxa"/>
            <w:shd w:val="clear" w:color="auto" w:fill="0E2841" w:themeFill="text2"/>
          </w:tcPr>
          <w:p w14:paraId="35053D18" w14:textId="77777777" w:rsidR="00F13AEE" w:rsidRPr="002C702E" w:rsidRDefault="00F13AEE" w:rsidP="00F13AEE">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2505A381" w14:textId="77777777" w:rsidR="00F13AEE" w:rsidRPr="002C702E" w:rsidRDefault="00F13AEE" w:rsidP="00F13AEE">
            <w:pPr>
              <w:spacing w:before="120" w:after="120"/>
              <w:rPr>
                <w:rFonts w:ascii="Aptos" w:eastAsia="Times New Roman" w:hAnsi="Aptos" w:cs="Times New Roman"/>
                <w:color w:val="000000"/>
                <w:kern w:val="0"/>
                <w:sz w:val="20"/>
                <w:szCs w:val="20"/>
                <w:lang w:val="en-GB" w:eastAsia="en-GB"/>
                <w14:ligatures w14:val="none"/>
              </w:rPr>
            </w:pPr>
            <w:r w:rsidRPr="008C7E94">
              <w:rPr>
                <w:rFonts w:ascii="Aptos" w:eastAsia="Times New Roman" w:hAnsi="Aptos" w:cs="Times New Roman"/>
                <w:color w:val="000000"/>
                <w:kern w:val="0"/>
                <w:sz w:val="20"/>
                <w:szCs w:val="20"/>
                <w:lang w:val="en-GB" w:eastAsia="en-GB"/>
                <w14:ligatures w14:val="none"/>
              </w:rPr>
              <w:t>Rules on the Operation of the Transport System submitted to the Energy Agency of the Republic of Serbia by "</w:t>
            </w:r>
            <w:proofErr w:type="spellStart"/>
            <w:r w:rsidRPr="008C7E94">
              <w:rPr>
                <w:rFonts w:ascii="Aptos" w:eastAsia="Times New Roman" w:hAnsi="Aptos" w:cs="Times New Roman"/>
                <w:color w:val="000000"/>
                <w:kern w:val="0"/>
                <w:sz w:val="20"/>
                <w:szCs w:val="20"/>
                <w:lang w:val="en-GB" w:eastAsia="en-GB"/>
                <w14:ligatures w14:val="none"/>
              </w:rPr>
              <w:t>Transportgas</w:t>
            </w:r>
            <w:proofErr w:type="spellEnd"/>
            <w:r w:rsidRPr="008C7E94">
              <w:rPr>
                <w:rFonts w:ascii="Aptos" w:eastAsia="Times New Roman" w:hAnsi="Aptos" w:cs="Times New Roman"/>
                <w:color w:val="000000"/>
                <w:kern w:val="0"/>
                <w:sz w:val="20"/>
                <w:szCs w:val="20"/>
                <w:lang w:val="en-GB" w:eastAsia="en-GB"/>
                <w14:ligatures w14:val="none"/>
              </w:rPr>
              <w:t xml:space="preserve"> </w:t>
            </w:r>
            <w:proofErr w:type="spellStart"/>
            <w:r w:rsidRPr="008C7E94">
              <w:rPr>
                <w:rFonts w:ascii="Aptos" w:eastAsia="Times New Roman" w:hAnsi="Aptos" w:cs="Times New Roman"/>
                <w:color w:val="000000"/>
                <w:kern w:val="0"/>
                <w:sz w:val="20"/>
                <w:szCs w:val="20"/>
                <w:lang w:val="en-GB" w:eastAsia="en-GB"/>
                <w14:ligatures w14:val="none"/>
              </w:rPr>
              <w:t>Srbija</w:t>
            </w:r>
            <w:proofErr w:type="spellEnd"/>
            <w:r w:rsidRPr="008C7E94">
              <w:rPr>
                <w:rFonts w:ascii="Aptos" w:eastAsia="Times New Roman" w:hAnsi="Aptos" w:cs="Times New Roman"/>
                <w:color w:val="000000"/>
                <w:kern w:val="0"/>
                <w:sz w:val="20"/>
                <w:szCs w:val="20"/>
                <w:lang w:val="en-GB" w:eastAsia="en-GB"/>
                <w14:ligatures w14:val="none"/>
              </w:rPr>
              <w:t>" for approval</w:t>
            </w:r>
            <w:r>
              <w:rPr>
                <w:rFonts w:ascii="Aptos" w:eastAsia="Times New Roman" w:hAnsi="Aptos" w:cs="Times New Roman"/>
                <w:color w:val="000000"/>
                <w:kern w:val="0"/>
                <w:sz w:val="20"/>
                <w:szCs w:val="20"/>
                <w:lang w:val="en-GB" w:eastAsia="en-GB"/>
                <w14:ligatures w14:val="none"/>
              </w:rPr>
              <w:t>.</w:t>
            </w:r>
          </w:p>
        </w:tc>
      </w:tr>
      <w:tr w:rsidR="00F13AEE" w:rsidRPr="002C702E" w14:paraId="7B78048E" w14:textId="77777777" w:rsidTr="00034CCB">
        <w:trPr>
          <w:trHeight w:val="577"/>
        </w:trPr>
        <w:tc>
          <w:tcPr>
            <w:tcW w:w="2122" w:type="dxa"/>
            <w:shd w:val="clear" w:color="auto" w:fill="0E2841" w:themeFill="text2"/>
          </w:tcPr>
          <w:p w14:paraId="0EED1B91" w14:textId="77777777" w:rsidR="00F13AEE" w:rsidRPr="002C702E" w:rsidRDefault="00F13AEE" w:rsidP="00F13AEE">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394732E3" w14:textId="77777777" w:rsidR="00F13AEE" w:rsidRPr="002C702E" w:rsidRDefault="00F13AEE" w:rsidP="00F13AEE">
            <w:pPr>
              <w:spacing w:before="120" w:after="120"/>
              <w:rPr>
                <w:rFonts w:ascii="Aptos" w:eastAsia="Times New Roman" w:hAnsi="Aptos" w:cs="Times New Roman"/>
                <w:color w:val="000000"/>
                <w:kern w:val="0"/>
                <w:sz w:val="20"/>
                <w:szCs w:val="20"/>
                <w:lang w:val="en-GB" w:eastAsia="en-GB"/>
                <w14:ligatures w14:val="none"/>
              </w:rPr>
            </w:pPr>
            <w:r>
              <w:rPr>
                <w:sz w:val="20"/>
                <w:szCs w:val="21"/>
              </w:rPr>
              <w:t>Report of TSO</w:t>
            </w:r>
          </w:p>
        </w:tc>
      </w:tr>
    </w:tbl>
    <w:p w14:paraId="4653B079" w14:textId="77777777" w:rsidR="00F5171C" w:rsidRPr="002C702E" w:rsidRDefault="00F5171C" w:rsidP="00F5171C">
      <w:pPr>
        <w:rPr>
          <w:lang w:val="en-GB"/>
        </w:rPr>
      </w:pPr>
    </w:p>
    <w:p w14:paraId="13A5F996" w14:textId="77777777" w:rsidR="00F5171C" w:rsidRPr="002C702E" w:rsidRDefault="00F5171C" w:rsidP="00F5171C">
      <w:pPr>
        <w:pStyle w:val="Heading1"/>
        <w:numPr>
          <w:ilvl w:val="0"/>
          <w:numId w:val="10"/>
        </w:numPr>
        <w:rPr>
          <w:lang w:val="en-GB"/>
        </w:rPr>
      </w:pPr>
      <w:r w:rsidRPr="002C702E">
        <w:rPr>
          <w:lang w:val="en-GB"/>
        </w:rPr>
        <w:t>Analysis</w:t>
      </w:r>
    </w:p>
    <w:p w14:paraId="6164AAFC" w14:textId="77777777" w:rsidR="00F5171C" w:rsidRPr="002C702E" w:rsidRDefault="00F5171C" w:rsidP="00F5171C">
      <w:pPr>
        <w:rPr>
          <w:lang w:val="en-GB"/>
        </w:rPr>
      </w:pPr>
    </w:p>
    <w:tbl>
      <w:tblPr>
        <w:tblStyle w:val="GridTable1Light"/>
        <w:tblW w:w="0" w:type="auto"/>
        <w:tblLook w:val="0480" w:firstRow="0" w:lastRow="0" w:firstColumn="1" w:lastColumn="0" w:noHBand="0" w:noVBand="1"/>
      </w:tblPr>
      <w:tblGrid>
        <w:gridCol w:w="2263"/>
        <w:gridCol w:w="6753"/>
      </w:tblGrid>
      <w:tr w:rsidR="00F5171C" w:rsidRPr="002C702E" w14:paraId="789D3AD7" w14:textId="77777777" w:rsidTr="00034CCB">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E0067ED" w14:textId="77777777" w:rsidR="00F5171C" w:rsidRPr="002C702E" w:rsidRDefault="00F5171C" w:rsidP="00034CCB">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209FDBE5" w14:textId="77777777" w:rsidR="00F5171C" w:rsidRDefault="00F5171C" w:rsidP="00034CCB">
            <w:pPr>
              <w:pStyle w:val="Compact"/>
              <w:numPr>
                <w:ilvl w:val="0"/>
                <w:numId w:val="11"/>
              </w:numPr>
              <w:jc w:val="both"/>
              <w:cnfStyle w:val="000000000000" w:firstRow="0" w:lastRow="0" w:firstColumn="0" w:lastColumn="0" w:oddVBand="0" w:evenVBand="0" w:oddHBand="0" w:evenHBand="0" w:firstRowFirstColumn="0" w:firstRowLastColumn="0" w:lastRowFirstColumn="0" w:lastRowLastColumn="0"/>
              <w:rPr>
                <w:sz w:val="20"/>
                <w:szCs w:val="20"/>
              </w:rPr>
            </w:pPr>
            <w:r w:rsidRPr="008D6E53">
              <w:rPr>
                <w:sz w:val="20"/>
                <w:szCs w:val="20"/>
              </w:rPr>
              <w:t>Regulatory framework for capacity allocation exists and is approved (Energy Law duties</w:t>
            </w:r>
            <w:r>
              <w:rPr>
                <w:sz w:val="20"/>
                <w:szCs w:val="20"/>
              </w:rPr>
              <w:t>,</w:t>
            </w:r>
            <w:r w:rsidRPr="008D6E53">
              <w:rPr>
                <w:sz w:val="20"/>
                <w:szCs w:val="20"/>
              </w:rPr>
              <w:t xml:space="preserve"> adopted network code </w:t>
            </w:r>
            <w:r>
              <w:rPr>
                <w:sz w:val="20"/>
                <w:szCs w:val="20"/>
              </w:rPr>
              <w:t>and</w:t>
            </w:r>
            <w:r w:rsidRPr="008D6E53">
              <w:rPr>
                <w:sz w:val="20"/>
                <w:szCs w:val="20"/>
              </w:rPr>
              <w:t xml:space="preserve"> TSO operational rules).</w:t>
            </w:r>
          </w:p>
          <w:p w14:paraId="2FC3B024" w14:textId="77777777" w:rsidR="00F5171C" w:rsidRDefault="00F5171C" w:rsidP="00034CCB">
            <w:pPr>
              <w:pStyle w:val="Compact"/>
              <w:numPr>
                <w:ilvl w:val="0"/>
                <w:numId w:val="11"/>
              </w:numPr>
              <w:jc w:val="both"/>
              <w:cnfStyle w:val="000000000000" w:firstRow="0" w:lastRow="0" w:firstColumn="0" w:lastColumn="0" w:oddVBand="0" w:evenVBand="0" w:oddHBand="0" w:evenHBand="0" w:firstRowFirstColumn="0" w:firstRowLastColumn="0" w:lastRowFirstColumn="0" w:lastRowLastColumn="0"/>
              <w:rPr>
                <w:sz w:val="20"/>
                <w:szCs w:val="20"/>
              </w:rPr>
            </w:pPr>
            <w:r w:rsidRPr="008531AD">
              <w:rPr>
                <w:sz w:val="20"/>
                <w:szCs w:val="20"/>
              </w:rPr>
              <w:t>Technical readiness &amp; operational preconditions, including the IBS infrastructure permit/license milestone (use permit) and functioning platform tooling.</w:t>
            </w:r>
          </w:p>
          <w:p w14:paraId="014927A7" w14:textId="77777777" w:rsidR="00F5171C" w:rsidRPr="008D6E53" w:rsidRDefault="00F5171C" w:rsidP="00034CCB">
            <w:pPr>
              <w:pStyle w:val="Compact"/>
              <w:numPr>
                <w:ilvl w:val="0"/>
                <w:numId w:val="11"/>
              </w:numPr>
              <w:jc w:val="both"/>
              <w:cnfStyle w:val="000000000000" w:firstRow="0" w:lastRow="0" w:firstColumn="0" w:lastColumn="0" w:oddVBand="0" w:evenVBand="0" w:oddHBand="0" w:evenHBand="0" w:firstRowFirstColumn="0" w:firstRowLastColumn="0" w:lastRowFirstColumn="0" w:lastRowLastColumn="0"/>
              <w:rPr>
                <w:sz w:val="20"/>
                <w:szCs w:val="20"/>
              </w:rPr>
            </w:pPr>
            <w:r w:rsidRPr="007B4CD0">
              <w:rPr>
                <w:sz w:val="20"/>
                <w:szCs w:val="20"/>
              </w:rPr>
              <w:t>Publication of the allocation procedure (products, platforms, deadlines, and result publication)</w:t>
            </w:r>
          </w:p>
          <w:p w14:paraId="6E82EB96" w14:textId="77777777" w:rsidR="00F5171C" w:rsidRPr="008D6E53" w:rsidRDefault="00F5171C" w:rsidP="00034CCB">
            <w:pPr>
              <w:pStyle w:val="Compact"/>
              <w:numPr>
                <w:ilvl w:val="0"/>
                <w:numId w:val="11"/>
              </w:numPr>
              <w:jc w:val="both"/>
              <w:cnfStyle w:val="000000000000" w:firstRow="0" w:lastRow="0" w:firstColumn="0" w:lastColumn="0" w:oddVBand="0" w:evenVBand="0" w:oddHBand="0" w:evenHBand="0" w:firstRowFirstColumn="0" w:firstRowLastColumn="0" w:lastRowFirstColumn="0" w:lastRowLastColumn="0"/>
              <w:rPr>
                <w:sz w:val="20"/>
                <w:szCs w:val="20"/>
              </w:rPr>
            </w:pPr>
            <w:r w:rsidRPr="008D6E53">
              <w:rPr>
                <w:sz w:val="20"/>
                <w:szCs w:val="20"/>
              </w:rPr>
              <w:t>Annual capacity allocation process is launched and results published (including dates and rule-basis)</w:t>
            </w:r>
            <w:r>
              <w:rPr>
                <w:sz w:val="20"/>
                <w:szCs w:val="20"/>
              </w:rPr>
              <w:t xml:space="preserve">, with the </w:t>
            </w:r>
            <w:r w:rsidRPr="00666134">
              <w:rPr>
                <w:sz w:val="20"/>
                <w:szCs w:val="20"/>
              </w:rPr>
              <w:t>Interconnection points and capacity information published</w:t>
            </w:r>
          </w:p>
          <w:p w14:paraId="2F94C2FE" w14:textId="77777777" w:rsidR="00F5171C" w:rsidRPr="008D6E53" w:rsidRDefault="00F5171C" w:rsidP="00034CCB">
            <w:pPr>
              <w:pStyle w:val="Compact"/>
              <w:numPr>
                <w:ilvl w:val="0"/>
                <w:numId w:val="11"/>
              </w:numPr>
              <w:jc w:val="both"/>
              <w:cnfStyle w:val="000000000000" w:firstRow="0" w:lastRow="0" w:firstColumn="0" w:lastColumn="0" w:oddVBand="0" w:evenVBand="0" w:oddHBand="0" w:evenHBand="0" w:firstRowFirstColumn="0" w:firstRowLastColumn="0" w:lastRowFirstColumn="0" w:lastRowLastColumn="0"/>
              <w:rPr>
                <w:sz w:val="20"/>
                <w:szCs w:val="20"/>
              </w:rPr>
            </w:pPr>
            <w:r w:rsidRPr="008D6E53">
              <w:rPr>
                <w:sz w:val="20"/>
                <w:szCs w:val="20"/>
              </w:rPr>
              <w:lastRenderedPageBreak/>
              <w:t>Allocation is opened at the specific border points (</w:t>
            </w:r>
            <w:proofErr w:type="spellStart"/>
            <w:r w:rsidRPr="008D6E53">
              <w:rPr>
                <w:sz w:val="20"/>
                <w:szCs w:val="20"/>
              </w:rPr>
              <w:t>Horgoš</w:t>
            </w:r>
            <w:proofErr w:type="spellEnd"/>
            <w:r w:rsidRPr="008D6E53">
              <w:rPr>
                <w:sz w:val="20"/>
                <w:szCs w:val="20"/>
              </w:rPr>
              <w:t xml:space="preserve"> and IBS) in a manner consistent with non-discrimination and Energy Community acquis.</w:t>
            </w:r>
          </w:p>
          <w:p w14:paraId="7909660F" w14:textId="77777777" w:rsidR="00F5171C" w:rsidRPr="00FC4B87" w:rsidRDefault="00F5171C" w:rsidP="00034CCB">
            <w:pPr>
              <w:pStyle w:val="Compact"/>
              <w:cnfStyle w:val="000000000000" w:firstRow="0" w:lastRow="0" w:firstColumn="0" w:lastColumn="0" w:oddVBand="0" w:evenVBand="0" w:oddHBand="0" w:evenHBand="0" w:firstRowFirstColumn="0" w:firstRowLastColumn="0" w:lastRowFirstColumn="0" w:lastRowLastColumn="0"/>
              <w:rPr>
                <w:sz w:val="20"/>
                <w:szCs w:val="21"/>
              </w:rPr>
            </w:pPr>
          </w:p>
        </w:tc>
      </w:tr>
      <w:tr w:rsidR="00F5171C" w:rsidRPr="002C702E" w14:paraId="1B9779B8" w14:textId="77777777" w:rsidTr="00034CCB">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2E751CD" w14:textId="77777777" w:rsidR="00F5171C" w:rsidRPr="002C702E" w:rsidRDefault="00F5171C" w:rsidP="00034CCB">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3F39FD84" w14:textId="77777777" w:rsidR="00F5171C" w:rsidRPr="00D7131B" w:rsidRDefault="00F5171C" w:rsidP="00034CCB">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D7131B">
              <w:rPr>
                <w:i/>
                <w:iCs/>
                <w:sz w:val="20"/>
                <w:szCs w:val="20"/>
                <w:lang w:val="en-GB"/>
              </w:rPr>
              <w:t>For each identified milestone, provide a succinct analysis of its implementation process. Use numbered points corresponding to the defined milestones above. Please provide references wherever possible.</w:t>
            </w:r>
          </w:p>
          <w:p w14:paraId="2EBF74D7" w14:textId="71DB35D7" w:rsidR="00F5171C" w:rsidRPr="00C51DC9" w:rsidRDefault="00F5171C" w:rsidP="00F5171C">
            <w:pPr>
              <w:pStyle w:val="ListParagraph"/>
              <w:numPr>
                <w:ilvl w:val="0"/>
                <w:numId w:val="12"/>
              </w:numPr>
              <w:spacing w:after="200"/>
              <w:ind w:left="77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proofErr w:type="spellStart"/>
            <w:r w:rsidRPr="00C51DC9">
              <w:rPr>
                <w:kern w:val="0"/>
                <w:sz w:val="20"/>
                <w:szCs w:val="21"/>
                <w14:ligatures w14:val="none"/>
              </w:rPr>
              <w:t>Transportgas</w:t>
            </w:r>
            <w:proofErr w:type="spellEnd"/>
            <w:r w:rsidRPr="00C51DC9">
              <w:rPr>
                <w:kern w:val="0"/>
                <w:sz w:val="20"/>
                <w:szCs w:val="21"/>
                <w14:ligatures w14:val="none"/>
              </w:rPr>
              <w:t xml:space="preserve"> adopted network rules governing access and capacity allocation and submitted them for regulatory consent. AERS confirms the timeline: draft submitted 28 January 2025</w:t>
            </w:r>
            <w:r w:rsidR="004A173C">
              <w:rPr>
                <w:kern w:val="0"/>
                <w:sz w:val="20"/>
                <w:szCs w:val="21"/>
                <w14:ligatures w14:val="none"/>
              </w:rPr>
              <w:t>,</w:t>
            </w:r>
            <w:r w:rsidR="00D34767">
              <w:rPr>
                <w:rStyle w:val="FootnoteReference"/>
                <w:kern w:val="0"/>
                <w:sz w:val="20"/>
                <w:szCs w:val="21"/>
                <w14:ligatures w14:val="none"/>
              </w:rPr>
              <w:footnoteReference w:id="1"/>
            </w:r>
            <w:r w:rsidRPr="00C51DC9">
              <w:rPr>
                <w:kern w:val="0"/>
                <w:sz w:val="20"/>
                <w:szCs w:val="21"/>
                <w14:ligatures w14:val="none"/>
              </w:rPr>
              <w:t xml:space="preserve"> preceded by public consultation from 9 August to 9 September 2024</w:t>
            </w:r>
            <w:r w:rsidR="004A173C">
              <w:rPr>
                <w:kern w:val="0"/>
                <w:sz w:val="20"/>
                <w:szCs w:val="21"/>
                <w14:ligatures w14:val="none"/>
              </w:rPr>
              <w:t>,</w:t>
            </w:r>
            <w:r w:rsidR="00380033">
              <w:rPr>
                <w:rStyle w:val="FootnoteReference"/>
                <w:kern w:val="0"/>
                <w:sz w:val="20"/>
                <w:szCs w:val="21"/>
                <w14:ligatures w14:val="none"/>
              </w:rPr>
              <w:footnoteReference w:id="2"/>
            </w:r>
            <w:r w:rsidRPr="00C51DC9">
              <w:rPr>
                <w:kern w:val="0"/>
                <w:sz w:val="20"/>
                <w:szCs w:val="21"/>
                <w14:ligatures w14:val="none"/>
              </w:rPr>
              <w:t xml:space="preserve"> and AERS formally granted consent on 30 January 2025</w:t>
            </w:r>
            <w:r w:rsidR="004A173C">
              <w:rPr>
                <w:kern w:val="0"/>
                <w:sz w:val="20"/>
                <w:szCs w:val="21"/>
                <w14:ligatures w14:val="none"/>
              </w:rPr>
              <w:t>.</w:t>
            </w:r>
            <w:r w:rsidR="00380033">
              <w:rPr>
                <w:rStyle w:val="FootnoteReference"/>
                <w:kern w:val="0"/>
                <w:sz w:val="20"/>
                <w:szCs w:val="21"/>
                <w14:ligatures w14:val="none"/>
              </w:rPr>
              <w:footnoteReference w:id="3"/>
            </w:r>
            <w:r w:rsidRPr="00C51DC9">
              <w:rPr>
                <w:kern w:val="0"/>
                <w:sz w:val="20"/>
                <w:szCs w:val="21"/>
                <w14:ligatures w14:val="none"/>
              </w:rPr>
              <w:t xml:space="preserve"> </w:t>
            </w:r>
          </w:p>
          <w:p w14:paraId="01F22551" w14:textId="6B9D8A68" w:rsidR="00F5171C" w:rsidRPr="0007568E" w:rsidRDefault="00F5171C" w:rsidP="00F5171C">
            <w:pPr>
              <w:pStyle w:val="ListParagraph"/>
              <w:numPr>
                <w:ilvl w:val="0"/>
                <w:numId w:val="12"/>
              </w:numPr>
              <w:spacing w:after="200"/>
              <w:ind w:left="77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C51DC9">
              <w:rPr>
                <w:kern w:val="0"/>
                <w:sz w:val="20"/>
                <w:szCs w:val="21"/>
                <w14:ligatures w14:val="none"/>
              </w:rPr>
              <w:t xml:space="preserve"> </w:t>
            </w:r>
            <w:r w:rsidRPr="0007568E">
              <w:rPr>
                <w:kern w:val="0"/>
                <w:sz w:val="20"/>
                <w:szCs w:val="21"/>
                <w14:ligatures w14:val="none"/>
              </w:rPr>
              <w:t xml:space="preserve">A key infrastructural prerequisite is the legal permissibility of operating the IBS gas interconnector as an entry into the Serbian network. </w:t>
            </w:r>
            <w:proofErr w:type="spellStart"/>
            <w:r w:rsidRPr="0007568E">
              <w:rPr>
                <w:kern w:val="0"/>
                <w:sz w:val="20"/>
                <w:szCs w:val="21"/>
                <w14:ligatures w14:val="none"/>
              </w:rPr>
              <w:t>Transportgas</w:t>
            </w:r>
            <w:proofErr w:type="spellEnd"/>
            <w:r w:rsidRPr="0007568E">
              <w:rPr>
                <w:kern w:val="0"/>
                <w:sz w:val="20"/>
                <w:szCs w:val="21"/>
                <w14:ligatures w14:val="none"/>
              </w:rPr>
              <w:t xml:space="preserve"> reports confirm that the MG</w:t>
            </w:r>
            <w:r w:rsidRPr="0007568E">
              <w:rPr>
                <w:rFonts w:ascii="Cambria Math" w:hAnsi="Cambria Math" w:cs="Cambria Math"/>
                <w:kern w:val="0"/>
                <w:sz w:val="20"/>
                <w:szCs w:val="21"/>
                <w14:ligatures w14:val="none"/>
              </w:rPr>
              <w:t>‑</w:t>
            </w:r>
            <w:r w:rsidRPr="0007568E">
              <w:rPr>
                <w:kern w:val="0"/>
                <w:sz w:val="20"/>
                <w:szCs w:val="21"/>
                <w14:ligatures w14:val="none"/>
              </w:rPr>
              <w:t xml:space="preserve">10 </w:t>
            </w:r>
            <w:proofErr w:type="spellStart"/>
            <w:r w:rsidRPr="0007568E">
              <w:rPr>
                <w:kern w:val="0"/>
                <w:sz w:val="20"/>
                <w:szCs w:val="21"/>
                <w14:ligatures w14:val="none"/>
              </w:rPr>
              <w:t>Ni</w:t>
            </w:r>
            <w:r w:rsidRPr="0007568E">
              <w:rPr>
                <w:rFonts w:ascii="Aptos" w:hAnsi="Aptos" w:cs="Aptos"/>
                <w:kern w:val="0"/>
                <w:sz w:val="20"/>
                <w:szCs w:val="21"/>
                <w14:ligatures w14:val="none"/>
              </w:rPr>
              <w:t>š</w:t>
            </w:r>
            <w:proofErr w:type="spellEnd"/>
            <w:r w:rsidRPr="0007568E">
              <w:rPr>
                <w:rFonts w:ascii="Aptos" w:hAnsi="Aptos" w:cs="Aptos"/>
                <w:kern w:val="0"/>
                <w:sz w:val="20"/>
                <w:szCs w:val="21"/>
                <w14:ligatures w14:val="none"/>
              </w:rPr>
              <w:t>–</w:t>
            </w:r>
            <w:proofErr w:type="spellStart"/>
            <w:r w:rsidRPr="0007568E">
              <w:rPr>
                <w:kern w:val="0"/>
                <w:sz w:val="20"/>
                <w:szCs w:val="21"/>
                <w14:ligatures w14:val="none"/>
              </w:rPr>
              <w:t>Dimitrovgrad</w:t>
            </w:r>
            <w:proofErr w:type="spellEnd"/>
            <w:r w:rsidRPr="0007568E">
              <w:rPr>
                <w:kern w:val="0"/>
                <w:sz w:val="20"/>
                <w:szCs w:val="21"/>
                <w14:ligatures w14:val="none"/>
              </w:rPr>
              <w:t xml:space="preserve"> pipeline (Serbia</w:t>
            </w:r>
            <w:r w:rsidRPr="0007568E">
              <w:rPr>
                <w:rFonts w:ascii="Aptos" w:hAnsi="Aptos" w:cs="Aptos"/>
                <w:kern w:val="0"/>
                <w:sz w:val="20"/>
                <w:szCs w:val="21"/>
                <w14:ligatures w14:val="none"/>
              </w:rPr>
              <w:t>–</w:t>
            </w:r>
            <w:r w:rsidRPr="0007568E">
              <w:rPr>
                <w:kern w:val="0"/>
                <w:sz w:val="20"/>
                <w:szCs w:val="21"/>
                <w14:ligatures w14:val="none"/>
              </w:rPr>
              <w:t>Bulgaria interconnector) was in trial operation (Dec 2023</w:t>
            </w:r>
            <w:r w:rsidRPr="0007568E">
              <w:rPr>
                <w:rFonts w:ascii="Aptos" w:hAnsi="Aptos" w:cs="Aptos"/>
                <w:kern w:val="0"/>
                <w:sz w:val="20"/>
                <w:szCs w:val="21"/>
                <w14:ligatures w14:val="none"/>
              </w:rPr>
              <w:t>–</w:t>
            </w:r>
            <w:r w:rsidRPr="0007568E">
              <w:rPr>
                <w:kern w:val="0"/>
                <w:sz w:val="20"/>
                <w:szCs w:val="21"/>
                <w14:ligatures w14:val="none"/>
              </w:rPr>
              <w:t>Dec 2024) and obtained a use permit on 14 January 2025 from Ministry of Construction, Transport and Infrastructure, including the exact reference: ROP</w:t>
            </w:r>
            <w:r w:rsidRPr="0007568E">
              <w:rPr>
                <w:rFonts w:ascii="Cambria Math" w:hAnsi="Cambria Math" w:cs="Cambria Math"/>
                <w:kern w:val="0"/>
                <w:sz w:val="20"/>
                <w:szCs w:val="21"/>
                <w14:ligatures w14:val="none"/>
              </w:rPr>
              <w:t>‑</w:t>
            </w:r>
            <w:r w:rsidRPr="0007568E">
              <w:rPr>
                <w:kern w:val="0"/>
                <w:sz w:val="20"/>
                <w:szCs w:val="21"/>
                <w14:ligatures w14:val="none"/>
              </w:rPr>
              <w:t>MSGI</w:t>
            </w:r>
            <w:r w:rsidRPr="0007568E">
              <w:rPr>
                <w:rFonts w:ascii="Cambria Math" w:hAnsi="Cambria Math" w:cs="Cambria Math"/>
                <w:kern w:val="0"/>
                <w:sz w:val="20"/>
                <w:szCs w:val="21"/>
                <w14:ligatures w14:val="none"/>
              </w:rPr>
              <w:t>‑</w:t>
            </w:r>
            <w:r w:rsidRPr="0007568E">
              <w:rPr>
                <w:kern w:val="0"/>
                <w:sz w:val="20"/>
                <w:szCs w:val="21"/>
                <w14:ligatures w14:val="none"/>
              </w:rPr>
              <w:t>40633</w:t>
            </w:r>
            <w:r w:rsidRPr="0007568E">
              <w:rPr>
                <w:rFonts w:ascii="Cambria Math" w:hAnsi="Cambria Math" w:cs="Cambria Math"/>
                <w:kern w:val="0"/>
                <w:sz w:val="20"/>
                <w:szCs w:val="21"/>
                <w14:ligatures w14:val="none"/>
              </w:rPr>
              <w:t>‑</w:t>
            </w:r>
            <w:r w:rsidRPr="0007568E">
              <w:rPr>
                <w:kern w:val="0"/>
                <w:sz w:val="20"/>
                <w:szCs w:val="21"/>
                <w14:ligatures w14:val="none"/>
              </w:rPr>
              <w:t>IUPH</w:t>
            </w:r>
            <w:r w:rsidRPr="0007568E">
              <w:rPr>
                <w:rFonts w:ascii="Cambria Math" w:hAnsi="Cambria Math" w:cs="Cambria Math"/>
                <w:kern w:val="0"/>
                <w:sz w:val="20"/>
                <w:szCs w:val="21"/>
                <w14:ligatures w14:val="none"/>
              </w:rPr>
              <w:t>‑</w:t>
            </w:r>
            <w:r w:rsidRPr="0007568E">
              <w:rPr>
                <w:kern w:val="0"/>
                <w:sz w:val="20"/>
                <w:szCs w:val="21"/>
                <w14:ligatures w14:val="none"/>
              </w:rPr>
              <w:t xml:space="preserve">2/2024; </w:t>
            </w:r>
            <w:r>
              <w:rPr>
                <w:kern w:val="0"/>
                <w:sz w:val="20"/>
                <w:szCs w:val="21"/>
                <w14:ligatures w14:val="none"/>
              </w:rPr>
              <w:t>number</w:t>
            </w:r>
            <w:r w:rsidRPr="0007568E">
              <w:rPr>
                <w:kern w:val="0"/>
                <w:sz w:val="20"/>
                <w:szCs w:val="21"/>
                <w14:ligatures w14:val="none"/>
              </w:rPr>
              <w:t xml:space="preserve"> 003451581 2024 14810 005 001 000 001</w:t>
            </w:r>
            <w:r w:rsidR="004A173C">
              <w:rPr>
                <w:kern w:val="0"/>
                <w:sz w:val="20"/>
                <w:szCs w:val="21"/>
                <w14:ligatures w14:val="none"/>
              </w:rPr>
              <w:t>.</w:t>
            </w:r>
            <w:r w:rsidR="00380033">
              <w:rPr>
                <w:rStyle w:val="FootnoteReference"/>
                <w:kern w:val="0"/>
                <w:sz w:val="20"/>
                <w:szCs w:val="21"/>
                <w14:ligatures w14:val="none"/>
              </w:rPr>
              <w:footnoteReference w:id="4"/>
            </w:r>
            <w:r w:rsidRPr="0007568E">
              <w:rPr>
                <w:kern w:val="0"/>
                <w:sz w:val="20"/>
                <w:szCs w:val="21"/>
                <w14:ligatures w14:val="none"/>
              </w:rPr>
              <w:t xml:space="preserve"> </w:t>
            </w:r>
            <w:proofErr w:type="spellStart"/>
            <w:r w:rsidRPr="0007568E">
              <w:rPr>
                <w:kern w:val="0"/>
                <w:sz w:val="20"/>
                <w:szCs w:val="21"/>
                <w14:ligatures w14:val="none"/>
              </w:rPr>
              <w:t>Transportgas</w:t>
            </w:r>
            <w:proofErr w:type="spellEnd"/>
            <w:r w:rsidRPr="0007568E">
              <w:rPr>
                <w:kern w:val="0"/>
                <w:sz w:val="20"/>
                <w:szCs w:val="21"/>
                <w14:ligatures w14:val="none"/>
              </w:rPr>
              <w:t xml:space="preserve"> further states that this enabled a new cross-border entry “Bulgaria/Serbia” into the transmission system. In parallel, technical readiness for running allocations is evidenced by the existence of the public </w:t>
            </w:r>
            <w:r w:rsidR="00380033">
              <w:rPr>
                <w:kern w:val="0"/>
                <w:sz w:val="20"/>
                <w:szCs w:val="21"/>
                <w14:ligatures w14:val="none"/>
              </w:rPr>
              <w:t>User Platform</w:t>
            </w:r>
            <w:r w:rsidR="00380033" w:rsidRPr="0007568E">
              <w:rPr>
                <w:kern w:val="0"/>
                <w:sz w:val="20"/>
                <w:szCs w:val="21"/>
                <w14:ligatures w14:val="none"/>
              </w:rPr>
              <w:t xml:space="preserve"> </w:t>
            </w:r>
            <w:r w:rsidRPr="0007568E">
              <w:rPr>
                <w:kern w:val="0"/>
                <w:sz w:val="20"/>
                <w:szCs w:val="21"/>
                <w14:ligatures w14:val="none"/>
              </w:rPr>
              <w:t>portal with modules for “Calls” and documentation downloads</w:t>
            </w:r>
            <w:r w:rsidR="004A173C">
              <w:rPr>
                <w:kern w:val="0"/>
                <w:sz w:val="20"/>
                <w:szCs w:val="21"/>
                <w14:ligatures w14:val="none"/>
              </w:rPr>
              <w:t>.</w:t>
            </w:r>
            <w:r w:rsidR="00380033">
              <w:rPr>
                <w:rStyle w:val="FootnoteReference"/>
                <w:kern w:val="0"/>
                <w:sz w:val="20"/>
                <w:szCs w:val="21"/>
                <w14:ligatures w14:val="none"/>
              </w:rPr>
              <w:footnoteReference w:id="5"/>
            </w:r>
          </w:p>
          <w:p w14:paraId="418E334C" w14:textId="77777777" w:rsidR="00F5171C" w:rsidRPr="0068483A" w:rsidRDefault="00F5171C" w:rsidP="00F5171C">
            <w:pPr>
              <w:pStyle w:val="ListParagraph"/>
              <w:numPr>
                <w:ilvl w:val="0"/>
                <w:numId w:val="12"/>
              </w:numPr>
              <w:spacing w:after="200"/>
              <w:ind w:left="77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CB3E89">
              <w:rPr>
                <w:kern w:val="0"/>
                <w:sz w:val="20"/>
                <w:szCs w:val="21"/>
                <w14:ligatures w14:val="none"/>
              </w:rPr>
              <w:t>This milestone tests whether a transparent allocation procedure was </w:t>
            </w:r>
            <w:r w:rsidRPr="00C47E27">
              <w:rPr>
                <w:kern w:val="0"/>
                <w:sz w:val="20"/>
                <w:szCs w:val="21"/>
                <w14:ligatures w14:val="none"/>
              </w:rPr>
              <w:t>published</w:t>
            </w:r>
            <w:r w:rsidRPr="00CB3E89">
              <w:rPr>
                <w:kern w:val="0"/>
                <w:sz w:val="20"/>
                <w:szCs w:val="21"/>
                <w14:ligatures w14:val="none"/>
              </w:rPr>
              <w:t> (</w:t>
            </w:r>
            <w:proofErr w:type="gramStart"/>
            <w:r w:rsidRPr="00CB3E89">
              <w:rPr>
                <w:kern w:val="0"/>
                <w:sz w:val="20"/>
                <w:szCs w:val="21"/>
                <w14:ligatures w14:val="none"/>
              </w:rPr>
              <w:t>not only performed</w:t>
            </w:r>
            <w:proofErr w:type="gramEnd"/>
            <w:r w:rsidRPr="00CB3E89">
              <w:rPr>
                <w:kern w:val="0"/>
                <w:sz w:val="20"/>
                <w:szCs w:val="21"/>
                <w14:ligatures w14:val="none"/>
              </w:rPr>
              <w:t>). Evidence shows three distinct layers:</w:t>
            </w:r>
          </w:p>
          <w:p w14:paraId="0752BE29" w14:textId="77777777" w:rsidR="00F5171C" w:rsidRPr="00CB3E89" w:rsidRDefault="00F5171C" w:rsidP="00034CCB">
            <w:pPr>
              <w:pStyle w:val="ListParagraph"/>
              <w:spacing w:after="200"/>
              <w:ind w:left="108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p>
          <w:p w14:paraId="0C55E352" w14:textId="15D3A8A0" w:rsidR="00F5171C" w:rsidRPr="003613E6" w:rsidRDefault="00F5171C" w:rsidP="00034CCB">
            <w:pPr>
              <w:pStyle w:val="ListParagraph"/>
              <w:numPr>
                <w:ilvl w:val="0"/>
                <w:numId w:val="13"/>
              </w:numPr>
              <w:spacing w:after="20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6F5602">
              <w:rPr>
                <w:kern w:val="0"/>
                <w:sz w:val="20"/>
                <w:szCs w:val="21"/>
                <w14:ligatures w14:val="none"/>
              </w:rPr>
              <w:t>Network rules provide the legal-procedural backbone.</w:t>
            </w:r>
            <w:r w:rsidRPr="006F5602">
              <w:rPr>
                <w:kern w:val="0"/>
                <w:sz w:val="20"/>
                <w:szCs w:val="21"/>
                <w14:ligatures w14:val="none"/>
              </w:rPr>
              <w:br/>
            </w:r>
            <w:proofErr w:type="spellStart"/>
            <w:r w:rsidRPr="006F5602">
              <w:rPr>
                <w:kern w:val="0"/>
                <w:sz w:val="20"/>
                <w:szCs w:val="21"/>
                <w14:ligatures w14:val="none"/>
              </w:rPr>
              <w:t>Transportgas</w:t>
            </w:r>
            <w:proofErr w:type="spellEnd"/>
            <w:r w:rsidRPr="006F5602">
              <w:rPr>
                <w:kern w:val="0"/>
                <w:sz w:val="20"/>
                <w:szCs w:val="21"/>
                <w14:ligatures w14:val="none"/>
              </w:rPr>
              <w:t xml:space="preserve"> rules define an “Auction Calendar</w:t>
            </w:r>
            <w:r w:rsidRPr="00CB3E89">
              <w:rPr>
                <w:b/>
                <w:bCs/>
                <w:kern w:val="0"/>
                <w:sz w:val="20"/>
                <w:szCs w:val="21"/>
                <w14:ligatures w14:val="none"/>
              </w:rPr>
              <w:t>”</w:t>
            </w:r>
            <w:r w:rsidRPr="00CB3E89">
              <w:rPr>
                <w:kern w:val="0"/>
                <w:sz w:val="20"/>
                <w:szCs w:val="21"/>
                <w14:ligatures w14:val="none"/>
              </w:rPr>
              <w:t> as a pre-defined schedule of auctions for standard capacity products at interconnection points</w:t>
            </w:r>
            <w:r w:rsidR="004A173C">
              <w:rPr>
                <w:kern w:val="0"/>
                <w:sz w:val="20"/>
                <w:szCs w:val="21"/>
                <w14:ligatures w14:val="none"/>
              </w:rPr>
              <w:t>,</w:t>
            </w:r>
            <w:r w:rsidR="008179DD">
              <w:rPr>
                <w:rStyle w:val="FootnoteReference"/>
                <w:kern w:val="0"/>
                <w:sz w:val="20"/>
                <w:szCs w:val="21"/>
                <w14:ligatures w14:val="none"/>
              </w:rPr>
              <w:footnoteReference w:id="6"/>
            </w:r>
            <w:r w:rsidRPr="00CB3E89">
              <w:rPr>
                <w:kern w:val="0"/>
                <w:sz w:val="20"/>
                <w:szCs w:val="21"/>
                <w14:ligatures w14:val="none"/>
              </w:rPr>
              <w:t xml:space="preserve"> published by ENTSO</w:t>
            </w:r>
            <w:r w:rsidR="008179DD">
              <w:rPr>
                <w:kern w:val="0"/>
                <w:sz w:val="20"/>
                <w:szCs w:val="21"/>
                <w14:ligatures w14:val="none"/>
              </w:rPr>
              <w:t>-</w:t>
            </w:r>
            <w:r w:rsidRPr="00CB3E89">
              <w:rPr>
                <w:kern w:val="0"/>
                <w:sz w:val="20"/>
                <w:szCs w:val="21"/>
                <w14:ligatures w14:val="none"/>
              </w:rPr>
              <w:t>G on its official website</w:t>
            </w:r>
            <w:r w:rsidR="004A173C">
              <w:rPr>
                <w:kern w:val="0"/>
                <w:sz w:val="20"/>
                <w:szCs w:val="21"/>
                <w14:ligatures w14:val="none"/>
              </w:rPr>
              <w:t>.</w:t>
            </w:r>
            <w:r w:rsidR="008179DD">
              <w:rPr>
                <w:rStyle w:val="FootnoteReference"/>
                <w:kern w:val="0"/>
                <w:sz w:val="20"/>
                <w:szCs w:val="21"/>
                <w14:ligatures w14:val="none"/>
              </w:rPr>
              <w:footnoteReference w:id="7"/>
            </w:r>
            <w:r w:rsidRPr="00CB3E89">
              <w:rPr>
                <w:kern w:val="0"/>
                <w:sz w:val="20"/>
                <w:szCs w:val="21"/>
                <w14:ligatures w14:val="none"/>
              </w:rPr>
              <w:t> </w:t>
            </w:r>
            <w:r w:rsidRPr="00CB3E89">
              <w:rPr>
                <w:kern w:val="0"/>
                <w:sz w:val="20"/>
                <w:szCs w:val="21"/>
                <w14:ligatures w14:val="none"/>
              </w:rPr>
              <w:br/>
            </w:r>
            <w:r w:rsidRPr="00CB3E89">
              <w:rPr>
                <w:kern w:val="0"/>
                <w:sz w:val="20"/>
                <w:szCs w:val="21"/>
                <w14:ligatures w14:val="none"/>
              </w:rPr>
              <w:lastRenderedPageBreak/>
              <w:t>The rules also specify operational mechanics: users must demonstrate “readiness to pay” by submitting payment security instruments before allocation begins, and the TSO communicates</w:t>
            </w:r>
            <w:r w:rsidR="00FF3F6B">
              <w:rPr>
                <w:kern w:val="0"/>
                <w:sz w:val="20"/>
                <w:szCs w:val="21"/>
                <w14:ligatures w14:val="none"/>
              </w:rPr>
              <w:t xml:space="preserve"> </w:t>
            </w:r>
            <w:r w:rsidRPr="002F76A0">
              <w:rPr>
                <w:kern w:val="0"/>
                <w:sz w:val="20"/>
                <w:szCs w:val="21"/>
                <w14:ligatures w14:val="none"/>
              </w:rPr>
              <w:t>acceptance/</w:t>
            </w:r>
            <w:r w:rsidR="00AE616B">
              <w:rPr>
                <w:kern w:val="0"/>
                <w:sz w:val="20"/>
                <w:szCs w:val="21"/>
                <w14:ligatures w14:val="none"/>
              </w:rPr>
              <w:t xml:space="preserve"> </w:t>
            </w:r>
            <w:r w:rsidRPr="002F76A0">
              <w:rPr>
                <w:kern w:val="0"/>
                <w:sz w:val="20"/>
                <w:szCs w:val="21"/>
                <w14:ligatures w14:val="none"/>
              </w:rPr>
              <w:t>contracting electronically. Crucially,</w:t>
            </w:r>
            <w:r w:rsidR="00FF3F6B">
              <w:rPr>
                <w:kern w:val="0"/>
                <w:sz w:val="20"/>
                <w:szCs w:val="21"/>
                <w14:ligatures w14:val="none"/>
              </w:rPr>
              <w:t xml:space="preserve"> </w:t>
            </w:r>
            <w:r w:rsidRPr="002F76A0">
              <w:rPr>
                <w:kern w:val="0"/>
                <w:sz w:val="20"/>
                <w:szCs w:val="21"/>
                <w14:ligatures w14:val="none"/>
              </w:rPr>
              <w:t>section 11.9 imposes transparency</w:t>
            </w:r>
            <w:r w:rsidR="00AE616B">
              <w:rPr>
                <w:kern w:val="0"/>
                <w:sz w:val="20"/>
                <w:szCs w:val="21"/>
                <w14:ligatures w14:val="none"/>
              </w:rPr>
              <w:t xml:space="preserve"> </w:t>
            </w:r>
            <w:r w:rsidRPr="002F76A0">
              <w:rPr>
                <w:kern w:val="0"/>
                <w:sz w:val="20"/>
                <w:szCs w:val="21"/>
                <w14:ligatures w14:val="none"/>
              </w:rPr>
              <w:t>duties: the TSO must publish aggregated</w:t>
            </w:r>
            <w:r w:rsidRPr="003613E6">
              <w:rPr>
                <w:b/>
                <w:bCs/>
                <w:kern w:val="0"/>
                <w:sz w:val="20"/>
                <w:szCs w:val="21"/>
                <w14:ligatures w14:val="none"/>
              </w:rPr>
              <w:t xml:space="preserve"> </w:t>
            </w:r>
            <w:r w:rsidRPr="002F76A0">
              <w:rPr>
                <w:kern w:val="0"/>
                <w:sz w:val="20"/>
                <w:szCs w:val="21"/>
                <w14:ligatures w14:val="none"/>
              </w:rPr>
              <w:t>data</w:t>
            </w:r>
            <w:r w:rsidRPr="003613E6">
              <w:rPr>
                <w:kern w:val="0"/>
                <w:sz w:val="20"/>
                <w:szCs w:val="21"/>
                <w14:ligatures w14:val="none"/>
              </w:rPr>
              <w:t> on allocation results and specifies publication timing</w:t>
            </w:r>
            <w:r>
              <w:rPr>
                <w:kern w:val="0"/>
                <w:sz w:val="20"/>
                <w:szCs w:val="21"/>
                <w14:ligatures w14:val="none"/>
              </w:rPr>
              <w:t>.</w:t>
            </w:r>
          </w:p>
          <w:p w14:paraId="55FE6BA6" w14:textId="7BA479F4" w:rsidR="00F5171C" w:rsidRPr="00C9085C" w:rsidRDefault="008179DD" w:rsidP="00034CCB">
            <w:pPr>
              <w:pStyle w:val="ListParagraph"/>
              <w:numPr>
                <w:ilvl w:val="0"/>
                <w:numId w:val="13"/>
              </w:numPr>
              <w:spacing w:after="20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Pr>
                <w:kern w:val="0"/>
                <w:sz w:val="20"/>
                <w:szCs w:val="21"/>
                <w14:ligatures w14:val="none"/>
              </w:rPr>
              <w:t>User Platform</w:t>
            </w:r>
            <w:r w:rsidRPr="0068483A">
              <w:rPr>
                <w:kern w:val="0"/>
                <w:sz w:val="20"/>
                <w:szCs w:val="21"/>
                <w14:ligatures w14:val="none"/>
              </w:rPr>
              <w:t xml:space="preserve"> </w:t>
            </w:r>
            <w:r w:rsidR="00F5171C" w:rsidRPr="0068483A">
              <w:rPr>
                <w:kern w:val="0"/>
                <w:sz w:val="20"/>
                <w:szCs w:val="21"/>
                <w14:ligatures w14:val="none"/>
              </w:rPr>
              <w:t>calendar publicly specifies deadlines and product types.</w:t>
            </w:r>
            <w:r w:rsidR="00F5171C" w:rsidRPr="0068483A">
              <w:rPr>
                <w:kern w:val="0"/>
                <w:sz w:val="20"/>
                <w:szCs w:val="21"/>
                <w14:ligatures w14:val="none"/>
              </w:rPr>
              <w:br/>
              <w:t xml:space="preserve">The </w:t>
            </w:r>
            <w:r>
              <w:rPr>
                <w:kern w:val="0"/>
                <w:sz w:val="20"/>
                <w:szCs w:val="21"/>
                <w14:ligatures w14:val="none"/>
              </w:rPr>
              <w:t>User Platform</w:t>
            </w:r>
            <w:r w:rsidR="00F5171C" w:rsidRPr="0068483A">
              <w:rPr>
                <w:kern w:val="0"/>
                <w:sz w:val="20"/>
                <w:szCs w:val="21"/>
                <w14:ligatures w14:val="none"/>
              </w:rPr>
              <w:t xml:space="preserve"> “Calendar” page</w:t>
            </w:r>
            <w:r>
              <w:rPr>
                <w:rStyle w:val="FootnoteReference"/>
                <w:kern w:val="0"/>
                <w:sz w:val="20"/>
                <w:szCs w:val="21"/>
                <w14:ligatures w14:val="none"/>
              </w:rPr>
              <w:footnoteReference w:id="8"/>
            </w:r>
            <w:r w:rsidR="00F5171C" w:rsidRPr="0068483A">
              <w:rPr>
                <w:kern w:val="0"/>
                <w:sz w:val="20"/>
                <w:szCs w:val="21"/>
                <w14:ligatures w14:val="none"/>
              </w:rPr>
              <w:t xml:space="preserve"> for gas year 202</w:t>
            </w:r>
            <w:r w:rsidR="00F5171C">
              <w:rPr>
                <w:kern w:val="0"/>
                <w:sz w:val="20"/>
                <w:szCs w:val="21"/>
                <w14:ligatures w14:val="none"/>
              </w:rPr>
              <w:t>6</w:t>
            </w:r>
            <w:r w:rsidR="00F5171C" w:rsidRPr="0068483A">
              <w:rPr>
                <w:kern w:val="0"/>
                <w:sz w:val="20"/>
                <w:szCs w:val="21"/>
                <w14:ligatures w14:val="none"/>
              </w:rPr>
              <w:t>/2</w:t>
            </w:r>
            <w:r w:rsidR="00F5171C">
              <w:rPr>
                <w:kern w:val="0"/>
                <w:sz w:val="20"/>
                <w:szCs w:val="21"/>
                <w14:ligatures w14:val="none"/>
              </w:rPr>
              <w:t>7</w:t>
            </w:r>
            <w:r w:rsidR="00F5171C" w:rsidRPr="0068483A">
              <w:rPr>
                <w:kern w:val="0"/>
                <w:sz w:val="20"/>
                <w:szCs w:val="21"/>
                <w14:ligatures w14:val="none"/>
              </w:rPr>
              <w:t> provides a clear, user-facing schedule distinguishing interconnection points vs other points,</w:t>
            </w:r>
            <w:r w:rsidR="00F5171C" w:rsidRPr="00CB3E89">
              <w:rPr>
                <w:kern w:val="0"/>
                <w:sz w:val="20"/>
                <w:szCs w:val="21"/>
                <w14:ligatures w14:val="none"/>
              </w:rPr>
              <w:t xml:space="preserve"> including:</w:t>
            </w:r>
            <w:r w:rsidR="00F5171C">
              <w:rPr>
                <w:kern w:val="0"/>
                <w:sz w:val="20"/>
                <w:szCs w:val="21"/>
                <w:lang w:val="sr-Cyrl-RS"/>
                <w14:ligatures w14:val="none"/>
              </w:rPr>
              <w:t xml:space="preserve"> </w:t>
            </w:r>
            <w:r w:rsidR="00F5171C" w:rsidRPr="00C9085C">
              <w:rPr>
                <w:kern w:val="0"/>
                <w:sz w:val="20"/>
                <w:szCs w:val="21"/>
                <w14:ligatures w14:val="none"/>
              </w:rPr>
              <w:t>annual firm capacity on interconnection points aligned with ENTSO</w:t>
            </w:r>
            <w:r>
              <w:rPr>
                <w:kern w:val="0"/>
                <w:sz w:val="20"/>
                <w:szCs w:val="21"/>
                <w14:ligatures w14:val="none"/>
              </w:rPr>
              <w:t>-</w:t>
            </w:r>
            <w:r w:rsidR="00F5171C" w:rsidRPr="00C9085C">
              <w:rPr>
                <w:kern w:val="0"/>
                <w:sz w:val="20"/>
                <w:szCs w:val="21"/>
                <w14:ligatures w14:val="none"/>
              </w:rPr>
              <w:t>G calendar, on the first Monday in July for the next five gas years, with results published the next working day;</w:t>
            </w:r>
            <w:r w:rsidR="00F5171C">
              <w:rPr>
                <w:kern w:val="0"/>
                <w:sz w:val="20"/>
                <w:szCs w:val="21"/>
                <w:lang w:val="sr-Cyrl-RS"/>
                <w14:ligatures w14:val="none"/>
              </w:rPr>
              <w:t xml:space="preserve"> </w:t>
            </w:r>
            <w:r w:rsidR="00F5171C" w:rsidRPr="00C9085C">
              <w:rPr>
                <w:kern w:val="0"/>
                <w:sz w:val="20"/>
                <w:szCs w:val="21"/>
                <w14:ligatures w14:val="none"/>
              </w:rPr>
              <w:t>analogous schedules for quarterly, monthly, daily, and intraday products</w:t>
            </w:r>
            <w:r w:rsidR="004A173C">
              <w:rPr>
                <w:kern w:val="0"/>
                <w:sz w:val="20"/>
                <w:szCs w:val="21"/>
                <w14:ligatures w14:val="none"/>
              </w:rPr>
              <w:t>.</w:t>
            </w:r>
            <w:r>
              <w:rPr>
                <w:rStyle w:val="FootnoteReference"/>
                <w:kern w:val="0"/>
                <w:sz w:val="20"/>
                <w:szCs w:val="21"/>
                <w14:ligatures w14:val="none"/>
              </w:rPr>
              <w:footnoteReference w:id="9"/>
            </w:r>
          </w:p>
          <w:p w14:paraId="1C749540" w14:textId="58DA5D77" w:rsidR="00F5171C" w:rsidRPr="00CD32E0" w:rsidRDefault="008179DD" w:rsidP="00034CCB">
            <w:pPr>
              <w:pStyle w:val="ListParagraph"/>
              <w:numPr>
                <w:ilvl w:val="0"/>
                <w:numId w:val="13"/>
              </w:numPr>
              <w:spacing w:after="20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Pr>
                <w:kern w:val="0"/>
                <w:sz w:val="20"/>
                <w:szCs w:val="21"/>
                <w14:ligatures w14:val="none"/>
              </w:rPr>
              <w:t>User Platform</w:t>
            </w:r>
            <w:r w:rsidR="00F5171C" w:rsidRPr="00C9085C">
              <w:rPr>
                <w:kern w:val="0"/>
                <w:sz w:val="20"/>
                <w:szCs w:val="21"/>
                <w14:ligatures w14:val="none"/>
              </w:rPr>
              <w:t xml:space="preserve"> </w:t>
            </w:r>
            <w:r>
              <w:rPr>
                <w:kern w:val="0"/>
                <w:sz w:val="20"/>
                <w:szCs w:val="21"/>
                <w14:ligatures w14:val="none"/>
              </w:rPr>
              <w:t>G</w:t>
            </w:r>
            <w:r w:rsidR="00F5171C" w:rsidRPr="00C9085C">
              <w:rPr>
                <w:kern w:val="0"/>
                <w:sz w:val="20"/>
                <w:szCs w:val="21"/>
                <w14:ligatures w14:val="none"/>
              </w:rPr>
              <w:t>uide</w:t>
            </w:r>
            <w:r>
              <w:rPr>
                <w:kern w:val="0"/>
                <w:sz w:val="20"/>
                <w:szCs w:val="21"/>
                <w14:ligatures w14:val="none"/>
              </w:rPr>
              <w:t>line</w:t>
            </w:r>
            <w:r w:rsidR="00F5171C" w:rsidRPr="00C9085C">
              <w:rPr>
                <w:kern w:val="0"/>
                <w:sz w:val="20"/>
                <w:szCs w:val="21"/>
                <w14:ligatures w14:val="none"/>
              </w:rPr>
              <w:t xml:space="preserve"> document concrete user actions.</w:t>
            </w:r>
            <w:r w:rsidR="00F5171C" w:rsidRPr="00CB3E89">
              <w:rPr>
                <w:kern w:val="0"/>
                <w:sz w:val="20"/>
                <w:szCs w:val="21"/>
                <w14:ligatures w14:val="none"/>
              </w:rPr>
              <w:br/>
              <w:t xml:space="preserve">The </w:t>
            </w:r>
            <w:r>
              <w:rPr>
                <w:kern w:val="0"/>
                <w:sz w:val="20"/>
                <w:szCs w:val="21"/>
                <w14:ligatures w14:val="none"/>
              </w:rPr>
              <w:t xml:space="preserve">User </w:t>
            </w:r>
            <w:proofErr w:type="gramStart"/>
            <w:r>
              <w:rPr>
                <w:kern w:val="0"/>
                <w:sz w:val="20"/>
                <w:szCs w:val="21"/>
                <w14:ligatures w14:val="none"/>
              </w:rPr>
              <w:t>Platform</w:t>
            </w:r>
            <w:r w:rsidRPr="00CB3E89">
              <w:rPr>
                <w:kern w:val="0"/>
                <w:sz w:val="20"/>
                <w:szCs w:val="21"/>
                <w14:ligatures w14:val="none"/>
              </w:rPr>
              <w:t xml:space="preserve"> </w:t>
            </w:r>
            <w:r w:rsidR="00F5171C" w:rsidRPr="00CB3E89">
              <w:rPr>
                <w:kern w:val="0"/>
                <w:sz w:val="20"/>
                <w:szCs w:val="21"/>
                <w14:ligatures w14:val="none"/>
              </w:rPr>
              <w:t xml:space="preserve"> </w:t>
            </w:r>
            <w:r>
              <w:rPr>
                <w:kern w:val="0"/>
                <w:sz w:val="20"/>
                <w:szCs w:val="21"/>
                <w14:ligatures w14:val="none"/>
              </w:rPr>
              <w:t>G</w:t>
            </w:r>
            <w:r w:rsidR="00F5171C" w:rsidRPr="00CB3E89">
              <w:rPr>
                <w:kern w:val="0"/>
                <w:sz w:val="20"/>
                <w:szCs w:val="21"/>
                <w14:ligatures w14:val="none"/>
              </w:rPr>
              <w:t>uide</w:t>
            </w:r>
            <w:r>
              <w:rPr>
                <w:kern w:val="0"/>
                <w:sz w:val="20"/>
                <w:szCs w:val="21"/>
                <w14:ligatures w14:val="none"/>
              </w:rPr>
              <w:t>line</w:t>
            </w:r>
            <w:proofErr w:type="gramEnd"/>
            <w:r w:rsidR="00F5171C" w:rsidRPr="00CB3E89">
              <w:rPr>
                <w:kern w:val="0"/>
                <w:sz w:val="20"/>
                <w:szCs w:val="21"/>
                <w14:ligatures w14:val="none"/>
              </w:rPr>
              <w:t xml:space="preserve"> describes how users view “Calls,” see deadlines, submit capacity requests, track statuses, and finalize submission, including how approved capacity becomes visible after allocation and how payment security instruments relate to interconnection points</w:t>
            </w:r>
            <w:r w:rsidR="004A173C">
              <w:rPr>
                <w:kern w:val="0"/>
                <w:sz w:val="20"/>
                <w:szCs w:val="21"/>
                <w14:ligatures w14:val="none"/>
              </w:rPr>
              <w:t>.</w:t>
            </w:r>
            <w:r>
              <w:rPr>
                <w:rStyle w:val="FootnoteReference"/>
                <w:kern w:val="0"/>
                <w:sz w:val="20"/>
                <w:szCs w:val="21"/>
                <w14:ligatures w14:val="none"/>
              </w:rPr>
              <w:footnoteReference w:id="10"/>
            </w:r>
            <w:r w:rsidR="00F5171C" w:rsidRPr="00CB3E89">
              <w:rPr>
                <w:kern w:val="0"/>
                <w:sz w:val="20"/>
                <w:szCs w:val="21"/>
                <w14:ligatures w14:val="none"/>
              </w:rPr>
              <w:t> </w:t>
            </w:r>
          </w:p>
          <w:p w14:paraId="3F8E78D7" w14:textId="77777777" w:rsidR="00F5171C" w:rsidRPr="00CB3E89" w:rsidRDefault="00F5171C" w:rsidP="00034CCB">
            <w:pPr>
              <w:pStyle w:val="ListParagraph"/>
              <w:spacing w:after="200"/>
              <w:ind w:left="144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p>
          <w:p w14:paraId="57BE999C" w14:textId="4C40864E" w:rsidR="00F5171C" w:rsidRPr="00FC4B62" w:rsidRDefault="00F5171C" w:rsidP="00F5171C">
            <w:pPr>
              <w:pStyle w:val="ListParagraph"/>
              <w:numPr>
                <w:ilvl w:val="0"/>
                <w:numId w:val="13"/>
              </w:numPr>
              <w:spacing w:after="200"/>
              <w:ind w:left="77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proofErr w:type="spellStart"/>
            <w:r w:rsidRPr="00FC4B62">
              <w:rPr>
                <w:kern w:val="0"/>
                <w:sz w:val="20"/>
                <w:szCs w:val="21"/>
                <w14:ligatures w14:val="none"/>
              </w:rPr>
              <w:t>Transportgas</w:t>
            </w:r>
            <w:proofErr w:type="spellEnd"/>
            <w:r w:rsidRPr="00FC4B62">
              <w:rPr>
                <w:kern w:val="0"/>
                <w:sz w:val="20"/>
                <w:szCs w:val="21"/>
                <w14:ligatures w14:val="none"/>
              </w:rPr>
              <w:t xml:space="preserve">’ capacity allocation platform states that aggregated annual capacity allocation results at interconnection points were published, covering gas years 2026–2030, conducted via the </w:t>
            </w:r>
            <w:proofErr w:type="spellStart"/>
            <w:r w:rsidRPr="00FC4B62">
              <w:rPr>
                <w:kern w:val="0"/>
                <w:sz w:val="20"/>
                <w:szCs w:val="21"/>
                <w14:ligatures w14:val="none"/>
              </w:rPr>
              <w:t>Transportgas</w:t>
            </w:r>
            <w:proofErr w:type="spellEnd"/>
            <w:r w:rsidRPr="00FC4B62">
              <w:rPr>
                <w:kern w:val="0"/>
                <w:sz w:val="20"/>
                <w:szCs w:val="21"/>
                <w14:ligatures w14:val="none"/>
              </w:rPr>
              <w:t xml:space="preserve"> operational platform aligned with the ENTSOG auction calendar, with the offer period </w:t>
            </w:r>
            <w:r w:rsidR="008179DD">
              <w:rPr>
                <w:kern w:val="0"/>
                <w:sz w:val="20"/>
                <w:szCs w:val="21"/>
                <w14:ligatures w14:val="none"/>
              </w:rPr>
              <w:t xml:space="preserve">6 </w:t>
            </w:r>
            <w:r w:rsidRPr="00FC4B62">
              <w:rPr>
                <w:kern w:val="0"/>
                <w:sz w:val="20"/>
                <w:szCs w:val="21"/>
                <w14:ligatures w14:val="none"/>
              </w:rPr>
              <w:t>June</w:t>
            </w:r>
            <w:r w:rsidR="008179DD">
              <w:rPr>
                <w:kern w:val="0"/>
                <w:sz w:val="20"/>
                <w:szCs w:val="21"/>
                <w14:ligatures w14:val="none"/>
              </w:rPr>
              <w:t xml:space="preserve">-7 </w:t>
            </w:r>
            <w:proofErr w:type="gramStart"/>
            <w:r w:rsidRPr="00FC4B62">
              <w:rPr>
                <w:kern w:val="0"/>
                <w:sz w:val="20"/>
                <w:szCs w:val="21"/>
                <w14:ligatures w14:val="none"/>
              </w:rPr>
              <w:t>July,</w:t>
            </w:r>
            <w:proofErr w:type="gramEnd"/>
            <w:r w:rsidRPr="00FC4B62">
              <w:rPr>
                <w:kern w:val="0"/>
                <w:sz w:val="20"/>
                <w:szCs w:val="21"/>
                <w14:ligatures w14:val="none"/>
              </w:rPr>
              <w:t xml:space="preserve"> 2025 and allocation completion 8 July 2025. Public evidence confirms that key entry points (including </w:t>
            </w:r>
            <w:proofErr w:type="spellStart"/>
            <w:r w:rsidRPr="00FC4B62">
              <w:rPr>
                <w:kern w:val="0"/>
                <w:sz w:val="20"/>
                <w:szCs w:val="21"/>
                <w14:ligatures w14:val="none"/>
              </w:rPr>
              <w:t>Horgoš</w:t>
            </w:r>
            <w:proofErr w:type="spellEnd"/>
            <w:r w:rsidRPr="00FC4B62">
              <w:rPr>
                <w:kern w:val="0"/>
                <w:sz w:val="20"/>
                <w:szCs w:val="21"/>
                <w14:ligatures w14:val="none"/>
              </w:rPr>
              <w:t xml:space="preserve"> and the Bulgaria-related entry point referenced domestically as “</w:t>
            </w:r>
            <w:proofErr w:type="spellStart"/>
            <w:r w:rsidRPr="00FC4B62">
              <w:rPr>
                <w:kern w:val="0"/>
                <w:sz w:val="20"/>
                <w:szCs w:val="21"/>
                <w14:ligatures w14:val="none"/>
              </w:rPr>
              <w:t>Kalotina</w:t>
            </w:r>
            <w:proofErr w:type="spellEnd"/>
            <w:r w:rsidRPr="00FC4B62">
              <w:rPr>
                <w:kern w:val="0"/>
                <w:sz w:val="20"/>
                <w:szCs w:val="21"/>
                <w14:ligatures w14:val="none"/>
              </w:rPr>
              <w:t>/</w:t>
            </w:r>
            <w:proofErr w:type="spellStart"/>
            <w:r w:rsidRPr="00FC4B62">
              <w:rPr>
                <w:kern w:val="0"/>
                <w:sz w:val="20"/>
                <w:szCs w:val="21"/>
                <w14:ligatures w14:val="none"/>
              </w:rPr>
              <w:t>Dimitrovgrad</w:t>
            </w:r>
            <w:proofErr w:type="spellEnd"/>
            <w:r w:rsidRPr="00FC4B62">
              <w:rPr>
                <w:kern w:val="0"/>
                <w:sz w:val="20"/>
                <w:szCs w:val="21"/>
                <w14:ligatures w14:val="none"/>
              </w:rPr>
              <w:t xml:space="preserve">”) are treated as interconnection-related entry points in </w:t>
            </w:r>
            <w:proofErr w:type="spellStart"/>
            <w:r w:rsidRPr="00FC4B62">
              <w:rPr>
                <w:kern w:val="0"/>
                <w:sz w:val="20"/>
                <w:szCs w:val="21"/>
                <w14:ligatures w14:val="none"/>
              </w:rPr>
              <w:t>Transportgas</w:t>
            </w:r>
            <w:proofErr w:type="spellEnd"/>
            <w:r w:rsidRPr="00FC4B62">
              <w:rPr>
                <w:kern w:val="0"/>
                <w:sz w:val="20"/>
                <w:szCs w:val="21"/>
                <w14:ligatures w14:val="none"/>
              </w:rPr>
              <w:t xml:space="preserve"> reporting</w:t>
            </w:r>
            <w:r w:rsidR="004A173C">
              <w:rPr>
                <w:kern w:val="0"/>
                <w:sz w:val="20"/>
                <w:szCs w:val="21"/>
                <w14:ligatures w14:val="none"/>
              </w:rPr>
              <w:t>.</w:t>
            </w:r>
            <w:r w:rsidR="00B76C09">
              <w:rPr>
                <w:rStyle w:val="FootnoteReference"/>
                <w:kern w:val="0"/>
                <w:sz w:val="20"/>
                <w:szCs w:val="21"/>
                <w14:ligatures w14:val="none"/>
              </w:rPr>
              <w:footnoteReference w:id="11"/>
            </w:r>
            <w:r w:rsidRPr="00FC4B62">
              <w:rPr>
                <w:kern w:val="0"/>
                <w:sz w:val="20"/>
                <w:szCs w:val="21"/>
                <w14:ligatures w14:val="none"/>
              </w:rPr>
              <w:t xml:space="preserve"> The </w:t>
            </w:r>
            <w:proofErr w:type="spellStart"/>
            <w:r w:rsidRPr="00FC4B62">
              <w:rPr>
                <w:kern w:val="0"/>
                <w:sz w:val="20"/>
                <w:szCs w:val="21"/>
                <w14:ligatures w14:val="none"/>
              </w:rPr>
              <w:t>Transportgas</w:t>
            </w:r>
            <w:proofErr w:type="spellEnd"/>
            <w:r w:rsidRPr="00FC4B62">
              <w:rPr>
                <w:kern w:val="0"/>
                <w:sz w:val="20"/>
                <w:szCs w:val="21"/>
                <w14:ligatures w14:val="none"/>
              </w:rPr>
              <w:t xml:space="preserve"> </w:t>
            </w:r>
            <w:r w:rsidR="00B76C09">
              <w:rPr>
                <w:kern w:val="0"/>
                <w:sz w:val="20"/>
                <w:szCs w:val="21"/>
                <w14:ligatures w14:val="none"/>
              </w:rPr>
              <w:t>R</w:t>
            </w:r>
            <w:r w:rsidRPr="00FC4B62">
              <w:rPr>
                <w:kern w:val="0"/>
                <w:sz w:val="20"/>
                <w:szCs w:val="21"/>
                <w14:ligatures w14:val="none"/>
              </w:rPr>
              <w:t xml:space="preserve">eport on non-discriminatory </w:t>
            </w:r>
            <w:proofErr w:type="spellStart"/>
            <w:r w:rsidRPr="00FC4B62">
              <w:rPr>
                <w:kern w:val="0"/>
                <w:sz w:val="20"/>
                <w:szCs w:val="21"/>
                <w14:ligatures w14:val="none"/>
              </w:rPr>
              <w:t>behaviour</w:t>
            </w:r>
            <w:proofErr w:type="spellEnd"/>
            <w:r w:rsidRPr="00FC4B62">
              <w:rPr>
                <w:kern w:val="0"/>
                <w:sz w:val="20"/>
                <w:szCs w:val="21"/>
                <w14:ligatures w14:val="none"/>
              </w:rPr>
              <w:t xml:space="preserve"> (2024 reporting) references entry points including “U1 – PPS Horgos” and “U2 – IP </w:t>
            </w:r>
            <w:proofErr w:type="spellStart"/>
            <w:r w:rsidRPr="00FC4B62">
              <w:rPr>
                <w:kern w:val="0"/>
                <w:sz w:val="20"/>
                <w:szCs w:val="21"/>
                <w14:ligatures w14:val="none"/>
              </w:rPr>
              <w:t>Kalotina</w:t>
            </w:r>
            <w:proofErr w:type="spellEnd"/>
            <w:r w:rsidRPr="00FC4B62">
              <w:rPr>
                <w:kern w:val="0"/>
                <w:sz w:val="20"/>
                <w:szCs w:val="21"/>
                <w14:ligatures w14:val="none"/>
              </w:rPr>
              <w:t>/</w:t>
            </w:r>
            <w:proofErr w:type="spellStart"/>
            <w:r w:rsidRPr="00FC4B62">
              <w:rPr>
                <w:kern w:val="0"/>
                <w:sz w:val="20"/>
                <w:szCs w:val="21"/>
                <w14:ligatures w14:val="none"/>
              </w:rPr>
              <w:t>Dimitrovgrad</w:t>
            </w:r>
            <w:proofErr w:type="spellEnd"/>
            <w:r w:rsidRPr="00FC4B62">
              <w:rPr>
                <w:kern w:val="0"/>
                <w:sz w:val="20"/>
                <w:szCs w:val="21"/>
                <w14:ligatures w14:val="none"/>
              </w:rPr>
              <w:t>” and describes constraints on offering capacity beyond transit/limited conditions in 2024</w:t>
            </w:r>
            <w:r w:rsidR="004A173C">
              <w:rPr>
                <w:kern w:val="0"/>
                <w:sz w:val="20"/>
                <w:szCs w:val="21"/>
                <w14:ligatures w14:val="none"/>
              </w:rPr>
              <w:t>.</w:t>
            </w:r>
            <w:r w:rsidR="00B76C09">
              <w:rPr>
                <w:rStyle w:val="FootnoteReference"/>
                <w:kern w:val="0"/>
                <w:sz w:val="20"/>
                <w:szCs w:val="21"/>
                <w14:ligatures w14:val="none"/>
              </w:rPr>
              <w:footnoteReference w:id="12"/>
            </w:r>
          </w:p>
          <w:p w14:paraId="4617D6C7" w14:textId="6A2B9A92" w:rsidR="00F5171C" w:rsidRPr="00AA51BF" w:rsidRDefault="00F5171C" w:rsidP="00F5171C">
            <w:pPr>
              <w:pStyle w:val="ListParagraph"/>
              <w:numPr>
                <w:ilvl w:val="0"/>
                <w:numId w:val="13"/>
              </w:numPr>
              <w:spacing w:after="200"/>
              <w:ind w:left="770"/>
              <w:jc w:val="both"/>
              <w:cnfStyle w:val="000000000000" w:firstRow="0" w:lastRow="0" w:firstColumn="0" w:lastColumn="0" w:oddVBand="0" w:evenVBand="0" w:oddHBand="0" w:evenHBand="0" w:firstRowFirstColumn="0" w:firstRowLastColumn="0" w:lastRowFirstColumn="0" w:lastRowLastColumn="0"/>
              <w:rPr>
                <w:kern w:val="0"/>
                <w:sz w:val="20"/>
                <w:szCs w:val="21"/>
                <w:lang w:val="sr-Cyrl-RS"/>
                <w14:ligatures w14:val="none"/>
              </w:rPr>
            </w:pPr>
            <w:proofErr w:type="spellStart"/>
            <w:r w:rsidRPr="009714BE">
              <w:rPr>
                <w:kern w:val="0"/>
                <w:sz w:val="20"/>
                <w:szCs w:val="21"/>
                <w14:ligatures w14:val="none"/>
              </w:rPr>
              <w:t>Transportgas</w:t>
            </w:r>
            <w:proofErr w:type="spellEnd"/>
            <w:r w:rsidRPr="009714BE">
              <w:rPr>
                <w:kern w:val="0"/>
                <w:sz w:val="20"/>
                <w:szCs w:val="21"/>
                <w14:ligatures w14:val="none"/>
              </w:rPr>
              <w:t xml:space="preserve"> published aggregated results as a transparency action and states it is doing so under the Energy Law and its network rules (explicitly referencing Article 248 and rule section 11.9).  It states the annual allocation results for gas years 2025–2030 were </w:t>
            </w:r>
            <w:r w:rsidRPr="009714BE">
              <w:rPr>
                <w:kern w:val="0"/>
                <w:sz w:val="20"/>
                <w:szCs w:val="21"/>
                <w14:ligatures w14:val="none"/>
              </w:rPr>
              <w:lastRenderedPageBreak/>
              <w:t>processed and that allocation was completed on </w:t>
            </w:r>
            <w:r w:rsidRPr="005E4639">
              <w:rPr>
                <w:kern w:val="0"/>
                <w:sz w:val="20"/>
                <w:szCs w:val="21"/>
                <w14:ligatures w14:val="none"/>
              </w:rPr>
              <w:t>8 July 2025</w:t>
            </w:r>
            <w:r w:rsidR="004A173C">
              <w:rPr>
                <w:kern w:val="0"/>
                <w:sz w:val="20"/>
                <w:szCs w:val="21"/>
                <w14:ligatures w14:val="none"/>
              </w:rPr>
              <w:t>.</w:t>
            </w:r>
            <w:r w:rsidR="00B76C09">
              <w:rPr>
                <w:rStyle w:val="FootnoteReference"/>
                <w:kern w:val="0"/>
                <w:sz w:val="20"/>
                <w:szCs w:val="21"/>
                <w14:ligatures w14:val="none"/>
              </w:rPr>
              <w:footnoteReference w:id="13"/>
            </w:r>
            <w:r>
              <w:rPr>
                <w:kern w:val="0"/>
                <w:sz w:val="20"/>
                <w:szCs w:val="21"/>
                <w14:ligatures w14:val="none"/>
              </w:rPr>
              <w:t xml:space="preserve"> Many of the issues from 2024 were fixed with the introduction of </w:t>
            </w:r>
            <w:proofErr w:type="spellStart"/>
            <w:r>
              <w:rPr>
                <w:kern w:val="0"/>
                <w:sz w:val="20"/>
                <w:szCs w:val="21"/>
                <w14:ligatures w14:val="none"/>
              </w:rPr>
              <w:t>Transportgas</w:t>
            </w:r>
            <w:proofErr w:type="spellEnd"/>
            <w:r>
              <w:rPr>
                <w:kern w:val="0"/>
                <w:sz w:val="20"/>
                <w:szCs w:val="21"/>
                <w14:ligatures w14:val="none"/>
              </w:rPr>
              <w:t>’ booking platform, with rules and guidelines. However, both the EU Commission report and Energy Community Implementation Report for 2025 state that the level of open allocation is not sufficient, mostly due to the lack of user-friendly interface of the booking platform</w:t>
            </w:r>
            <w:r w:rsidR="004A173C">
              <w:rPr>
                <w:kern w:val="0"/>
                <w:sz w:val="20"/>
                <w:szCs w:val="21"/>
                <w14:ligatures w14:val="none"/>
              </w:rPr>
              <w:t>.</w:t>
            </w:r>
            <w:r w:rsidR="00B76C09">
              <w:rPr>
                <w:rStyle w:val="FootnoteReference"/>
                <w:kern w:val="0"/>
                <w:sz w:val="20"/>
                <w:szCs w:val="21"/>
                <w14:ligatures w14:val="none"/>
              </w:rPr>
              <w:footnoteReference w:id="14"/>
            </w:r>
            <w:r>
              <w:rPr>
                <w:kern w:val="0"/>
                <w:sz w:val="20"/>
                <w:szCs w:val="21"/>
                <w14:ligatures w14:val="none"/>
              </w:rPr>
              <w:t xml:space="preserve"> For that reason, the allocation of capacities at these two IPS were opened in 2025, but not fully aligned with the Energy Community Acquis.</w:t>
            </w:r>
          </w:p>
        </w:tc>
      </w:tr>
      <w:tr w:rsidR="00F5171C" w:rsidRPr="002C702E" w14:paraId="32AC8B19" w14:textId="77777777" w:rsidTr="00034CCB">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1D255120" w14:textId="77777777" w:rsidR="00F5171C" w:rsidRPr="002C702E" w:rsidRDefault="00F5171C" w:rsidP="00034CCB">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3BA604D4" w14:textId="77777777" w:rsidR="00F5171C" w:rsidRPr="001F1331"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1F1331">
              <w:rPr>
                <w:sz w:val="20"/>
                <w:szCs w:val="20"/>
              </w:rPr>
              <w:t>The central issue is the gap between formal opening and effective market functioning. While allocation has been opened, this does not necessarily ensure that capacity is widely accessible, competitively used, or efficiently allocated in practice.</w:t>
            </w:r>
          </w:p>
          <w:p w14:paraId="6B140870" w14:textId="77777777" w:rsidR="00F5171C" w:rsidRPr="001F1331"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1F1331">
              <w:rPr>
                <w:sz w:val="20"/>
                <w:szCs w:val="20"/>
              </w:rPr>
              <w:t xml:space="preserve">A second issue concerns incomplete alignment in implementation across borders. Even though the regulatory framework is largely aligned with EU rules, practical coordination with </w:t>
            </w:r>
            <w:proofErr w:type="spellStart"/>
            <w:r w:rsidRPr="001F1331">
              <w:rPr>
                <w:sz w:val="20"/>
                <w:szCs w:val="20"/>
              </w:rPr>
              <w:t>neighbouring</w:t>
            </w:r>
            <w:proofErr w:type="spellEnd"/>
            <w:r w:rsidRPr="001F1331">
              <w:rPr>
                <w:sz w:val="20"/>
                <w:szCs w:val="20"/>
              </w:rPr>
              <w:t xml:space="preserve"> systems and full application of capacity allocation mechanisms remain inconsistent.</w:t>
            </w:r>
            <w:r>
              <w:rPr>
                <w:sz w:val="20"/>
                <w:szCs w:val="20"/>
              </w:rPr>
              <w:t xml:space="preserve"> Operationalization and participation of the </w:t>
            </w:r>
            <w:proofErr w:type="spellStart"/>
            <w:r>
              <w:rPr>
                <w:sz w:val="20"/>
                <w:szCs w:val="20"/>
              </w:rPr>
              <w:t>Transportgas</w:t>
            </w:r>
            <w:proofErr w:type="spellEnd"/>
            <w:r>
              <w:rPr>
                <w:sz w:val="20"/>
                <w:szCs w:val="20"/>
              </w:rPr>
              <w:t xml:space="preserve"> </w:t>
            </w:r>
            <w:proofErr w:type="spellStart"/>
            <w:r>
              <w:rPr>
                <w:sz w:val="20"/>
                <w:szCs w:val="20"/>
              </w:rPr>
              <w:t>Srbija</w:t>
            </w:r>
            <w:proofErr w:type="spellEnd"/>
            <w:r>
              <w:rPr>
                <w:sz w:val="20"/>
                <w:szCs w:val="20"/>
              </w:rPr>
              <w:t xml:space="preserve"> in the Regional Booking Platform would possibly fix this issue.</w:t>
            </w:r>
          </w:p>
          <w:p w14:paraId="7A949F34" w14:textId="161CFF04" w:rsidR="00F5171C" w:rsidRPr="00B11D4D"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1F1331">
              <w:rPr>
                <w:sz w:val="20"/>
                <w:szCs w:val="20"/>
              </w:rPr>
              <w:t>A third issue relates to transparency. While the allocation mechanism is publicly accessible, detailed and systematic data on allocation outcomes is not always fully available, limiting external verification of market performance.</w:t>
            </w:r>
            <w:r>
              <w:rPr>
                <w:sz w:val="20"/>
                <w:szCs w:val="20"/>
              </w:rPr>
              <w:t xml:space="preserve"> Also, in the TSO report for 2024, it was clearly stated that the main issue of implementation was the lack of national dedicated booking platform. This </w:t>
            </w:r>
            <w:r w:rsidR="000E7957">
              <w:rPr>
                <w:sz w:val="20"/>
                <w:szCs w:val="20"/>
              </w:rPr>
              <w:t>was</w:t>
            </w:r>
            <w:r>
              <w:rPr>
                <w:sz w:val="20"/>
                <w:szCs w:val="20"/>
              </w:rPr>
              <w:t xml:space="preserve"> fixed in 2025, but the platform is still not operationalized fully, as noted in the Energy Community Implementation Report for 2025</w:t>
            </w:r>
            <w:r w:rsidR="004A173C">
              <w:rPr>
                <w:sz w:val="20"/>
                <w:szCs w:val="20"/>
              </w:rPr>
              <w:t>.</w:t>
            </w:r>
            <w:r w:rsidR="00B76C09">
              <w:rPr>
                <w:rStyle w:val="FootnoteReference"/>
                <w:sz w:val="20"/>
                <w:szCs w:val="20"/>
              </w:rPr>
              <w:footnoteReference w:id="15"/>
            </w:r>
            <w:r>
              <w:rPr>
                <w:sz w:val="20"/>
                <w:szCs w:val="20"/>
              </w:rPr>
              <w:t xml:space="preserve"> </w:t>
            </w:r>
            <w:r>
              <w:rPr>
                <w:sz w:val="20"/>
                <w:szCs w:val="20"/>
                <w:lang w:val="en-GB"/>
              </w:rPr>
              <w:t>O</w:t>
            </w:r>
            <w:r w:rsidRPr="00B11D4D">
              <w:rPr>
                <w:sz w:val="20"/>
                <w:szCs w:val="20"/>
                <w:lang w:val="en-GB"/>
              </w:rPr>
              <w:t>pening capacities is not only running a process, but also offering meaningful capacity volumes to third parties at the strategic entry points. Both EU and Energy Community monitoring explicitly frame this as incomplete even after IBS began commercial operations</w:t>
            </w:r>
            <w:r>
              <w:rPr>
                <w:sz w:val="20"/>
                <w:szCs w:val="20"/>
                <w:lang w:val="en-GB"/>
              </w:rPr>
              <w:t xml:space="preserve"> in 2025.</w:t>
            </w:r>
          </w:p>
        </w:tc>
      </w:tr>
      <w:tr w:rsidR="00F5171C" w:rsidRPr="002C702E" w14:paraId="01011648" w14:textId="77777777" w:rsidTr="00034CCB">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06105A4" w14:textId="77777777" w:rsidR="00F5171C" w:rsidRPr="002C702E" w:rsidRDefault="00F5171C" w:rsidP="00034CCB">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452229F6" w14:textId="77777777" w:rsidR="00F5171C" w:rsidRDefault="00F5171C" w:rsidP="00034CCB">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4AB0A3D9" w14:textId="77777777" w:rsidR="00F5171C"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proofErr w:type="spellStart"/>
            <w:r w:rsidRPr="00FE3FAA">
              <w:rPr>
                <w:sz w:val="20"/>
                <w:szCs w:val="20"/>
              </w:rPr>
              <w:t>Transportgas</w:t>
            </w:r>
            <w:proofErr w:type="spellEnd"/>
            <w:r w:rsidRPr="00FE3FAA">
              <w:rPr>
                <w:sz w:val="20"/>
                <w:szCs w:val="20"/>
              </w:rPr>
              <w:t xml:space="preserve"> publishes an allocation notice with dates, legal basis references, and a downloadable result table</w:t>
            </w:r>
            <w:r>
              <w:rPr>
                <w:sz w:val="20"/>
                <w:szCs w:val="20"/>
              </w:rPr>
              <w:t>.</w:t>
            </w:r>
            <w:r w:rsidRPr="00FE3FAA">
              <w:rPr>
                <w:sz w:val="20"/>
                <w:szCs w:val="20"/>
              </w:rPr>
              <w:t xml:space="preserve"> External monitors nonetheless consider transparency and usability insufficient at interconnection points. </w:t>
            </w:r>
          </w:p>
          <w:p w14:paraId="758AA1BB" w14:textId="77777777" w:rsidR="00F5171C"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626B8455" w14:textId="63A8E38C" w:rsidR="00F5171C"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3743BA">
              <w:rPr>
                <w:sz w:val="20"/>
                <w:szCs w:val="20"/>
                <w:lang w:val="en-GB"/>
              </w:rPr>
              <w:t>Public consultation evidence exists for related codes (AERS network code hearing),</w:t>
            </w:r>
            <w:r w:rsidR="00B76C09">
              <w:rPr>
                <w:sz w:val="20"/>
                <w:szCs w:val="20"/>
                <w:lang w:val="en-GB"/>
              </w:rPr>
              <w:t xml:space="preserve"> conducted from 9 August to 9 </w:t>
            </w:r>
            <w:proofErr w:type="gramStart"/>
            <w:r w:rsidR="00B76C09">
              <w:rPr>
                <w:sz w:val="20"/>
                <w:szCs w:val="20"/>
                <w:lang w:val="en-GB"/>
              </w:rPr>
              <w:t>September,</w:t>
            </w:r>
            <w:proofErr w:type="gramEnd"/>
            <w:r w:rsidR="00B76C09">
              <w:rPr>
                <w:sz w:val="20"/>
                <w:szCs w:val="20"/>
                <w:lang w:val="en-GB"/>
              </w:rPr>
              <w:t xml:space="preserve"> 2024</w:t>
            </w:r>
            <w:r w:rsidR="004A173C">
              <w:rPr>
                <w:sz w:val="20"/>
                <w:szCs w:val="20"/>
                <w:lang w:val="en-GB"/>
              </w:rPr>
              <w:t>,</w:t>
            </w:r>
            <w:r w:rsidR="00B76C09">
              <w:rPr>
                <w:rStyle w:val="FootnoteReference"/>
                <w:sz w:val="20"/>
                <w:szCs w:val="20"/>
                <w:lang w:val="en-GB"/>
              </w:rPr>
              <w:footnoteReference w:id="16"/>
            </w:r>
            <w:r w:rsidRPr="003743BA">
              <w:rPr>
                <w:sz w:val="20"/>
                <w:szCs w:val="20"/>
                <w:lang w:val="en-GB"/>
              </w:rPr>
              <w:t xml:space="preserve"> but for the </w:t>
            </w:r>
            <w:r w:rsidRPr="003743BA">
              <w:rPr>
                <w:sz w:val="20"/>
                <w:szCs w:val="20"/>
                <w:lang w:val="en-GB"/>
              </w:rPr>
              <w:lastRenderedPageBreak/>
              <w:t xml:space="preserve">specific </w:t>
            </w:r>
            <w:proofErr w:type="spellStart"/>
            <w:r w:rsidRPr="003743BA">
              <w:rPr>
                <w:sz w:val="20"/>
                <w:szCs w:val="20"/>
                <w:lang w:val="en-GB"/>
              </w:rPr>
              <w:t>Horgoš</w:t>
            </w:r>
            <w:proofErr w:type="spellEnd"/>
            <w:r w:rsidRPr="003743BA">
              <w:rPr>
                <w:sz w:val="20"/>
                <w:szCs w:val="20"/>
                <w:lang w:val="en-GB"/>
              </w:rPr>
              <w:t xml:space="preserve">/IBS allocation opening, inclusivity is less relevant than transparency and equal treatment. </w:t>
            </w:r>
          </w:p>
          <w:p w14:paraId="51C0A564" w14:textId="77777777" w:rsidR="00F5171C" w:rsidRPr="002C702E"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Proportionality for intended purpose</w:t>
            </w:r>
          </w:p>
          <w:p w14:paraId="6695D879" w14:textId="161C6F77" w:rsidR="00F5171C"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605E2A">
              <w:rPr>
                <w:sz w:val="20"/>
                <w:szCs w:val="20"/>
                <w:lang w:val="en-GB"/>
              </w:rPr>
              <w:t>An annual allocation mechanism aligned with ENTSO</w:t>
            </w:r>
            <w:r w:rsidR="00B76C09">
              <w:rPr>
                <w:sz w:val="20"/>
                <w:szCs w:val="20"/>
                <w:lang w:val="en-GB"/>
              </w:rPr>
              <w:t>-</w:t>
            </w:r>
            <w:r w:rsidRPr="00605E2A">
              <w:rPr>
                <w:sz w:val="20"/>
                <w:szCs w:val="20"/>
                <w:lang w:val="en-GB"/>
              </w:rPr>
              <w:t>G calendars is proportionate and consistent with EU network code logic. The unresolved issue is not disproportional measures, but incomplete effect.</w:t>
            </w:r>
          </w:p>
          <w:p w14:paraId="1D9E906C" w14:textId="77777777" w:rsidR="00F5171C"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647B33">
              <w:rPr>
                <w:b/>
                <w:bCs/>
                <w:sz w:val="20"/>
                <w:szCs w:val="20"/>
                <w:lang w:val="en-GB"/>
              </w:rPr>
              <w:t>Equal treatment / non</w:t>
            </w:r>
            <w:r w:rsidRPr="00647B33">
              <w:rPr>
                <w:rFonts w:ascii="Cambria Math" w:hAnsi="Cambria Math" w:cs="Cambria Math"/>
                <w:b/>
                <w:bCs/>
                <w:sz w:val="20"/>
                <w:szCs w:val="20"/>
                <w:lang w:val="en-GB"/>
              </w:rPr>
              <w:t>‑</w:t>
            </w:r>
            <w:r w:rsidRPr="00647B33">
              <w:rPr>
                <w:b/>
                <w:bCs/>
                <w:sz w:val="20"/>
                <w:szCs w:val="20"/>
                <w:lang w:val="en-GB"/>
              </w:rPr>
              <w:t>discrimination</w:t>
            </w:r>
          </w:p>
          <w:p w14:paraId="67173960" w14:textId="77777777" w:rsidR="00F5171C" w:rsidRPr="002C702E"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Energy Community</w:t>
            </w:r>
            <w:r w:rsidRPr="000F48FC">
              <w:rPr>
                <w:sz w:val="20"/>
                <w:szCs w:val="20"/>
                <w:lang w:val="en-GB"/>
              </w:rPr>
              <w:t xml:space="preserve"> language indicates persistent deficits in non-discriminatory openness of allocation/TPA, which is directly contrary to the intended principle. </w:t>
            </w:r>
          </w:p>
        </w:tc>
      </w:tr>
      <w:tr w:rsidR="00F5171C" w:rsidRPr="002C702E" w14:paraId="3DC1CE33" w14:textId="77777777" w:rsidTr="00034CCB">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C08C0B" w14:textId="77777777" w:rsidR="00F5171C" w:rsidRPr="002C702E" w:rsidRDefault="00F5171C" w:rsidP="00034CCB">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72C94B33" w14:textId="77777777" w:rsidR="00F5171C" w:rsidRPr="002C702E" w:rsidRDefault="00F5171C" w:rsidP="00034CCB">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2F56DAA1" w14:textId="644CC20F" w:rsidR="00F5171C" w:rsidRPr="002C702E" w:rsidRDefault="00F5171C" w:rsidP="0023641D">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sidRPr="002C702E">
              <w:rPr>
                <w:sz w:val="20"/>
                <w:szCs w:val="20"/>
                <w:lang w:val="en-GB"/>
              </w:rPr>
              <w:t>YES, although not as listed in the Reform Agenda</w:t>
            </w:r>
            <w:r>
              <w:rPr>
                <w:sz w:val="20"/>
                <w:szCs w:val="20"/>
                <w:lang w:val="en-GB"/>
              </w:rPr>
              <w:t xml:space="preserve">. </w:t>
            </w:r>
            <w:r w:rsidR="0023641D" w:rsidRPr="0023641D">
              <w:rPr>
                <w:sz w:val="20"/>
                <w:szCs w:val="20"/>
                <w:lang w:val="en-GB"/>
              </w:rPr>
              <w:t xml:space="preserve">The main issue was lack of Report of TSO on non-discriminatory measures for 2025, which is expected later in 2026 (the Report for 2024 was published in </w:t>
            </w:r>
            <w:proofErr w:type="gramStart"/>
            <w:r w:rsidR="0023641D" w:rsidRPr="0023641D">
              <w:rPr>
                <w:sz w:val="20"/>
                <w:szCs w:val="20"/>
                <w:lang w:val="en-GB"/>
              </w:rPr>
              <w:t>November,</w:t>
            </w:r>
            <w:proofErr w:type="gramEnd"/>
            <w:r w:rsidR="0023641D" w:rsidRPr="0023641D">
              <w:rPr>
                <w:sz w:val="20"/>
                <w:szCs w:val="20"/>
                <w:lang w:val="en-GB"/>
              </w:rPr>
              <w:t xml:space="preserve"> 2025).</w:t>
            </w:r>
          </w:p>
          <w:p w14:paraId="320E0E5B" w14:textId="77777777" w:rsidR="00F5171C" w:rsidRPr="002C702E" w:rsidRDefault="00F5171C" w:rsidP="00034CCB">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Source</w:t>
            </w:r>
            <w:r w:rsidRPr="002C702E">
              <w:rPr>
                <w:sz w:val="20"/>
                <w:szCs w:val="20"/>
                <w:lang w:val="en-GB"/>
              </w:rPr>
              <w:t xml:space="preserve">: </w:t>
            </w:r>
          </w:p>
          <w:p w14:paraId="604997EB" w14:textId="77777777" w:rsidR="00F5171C" w:rsidRPr="002C702E" w:rsidRDefault="00F5171C" w:rsidP="00034CCB">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Government of the Republic of Serbia</w:t>
            </w:r>
          </w:p>
          <w:p w14:paraId="0255EA91" w14:textId="77777777" w:rsidR="00F5171C" w:rsidRDefault="00F5171C" w:rsidP="00034CCB">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AERS</w:t>
            </w:r>
          </w:p>
          <w:p w14:paraId="35146823" w14:textId="77777777" w:rsidR="00F5171C" w:rsidRPr="002C702E" w:rsidRDefault="00F5171C" w:rsidP="00034CCB">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Energy Community Secretariate </w:t>
            </w:r>
          </w:p>
          <w:p w14:paraId="6AEBC7AD" w14:textId="77777777" w:rsidR="00F5171C" w:rsidRPr="002C702E" w:rsidRDefault="00F5171C" w:rsidP="00034CCB">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Link</w:t>
            </w:r>
            <w:r w:rsidRPr="002C702E">
              <w:rPr>
                <w:sz w:val="20"/>
                <w:szCs w:val="20"/>
                <w:lang w:val="en-GB"/>
              </w:rPr>
              <w:t xml:space="preserve">: </w:t>
            </w:r>
          </w:p>
          <w:p w14:paraId="72583B32" w14:textId="77777777" w:rsidR="00F5171C" w:rsidRPr="004B4907" w:rsidRDefault="00F5171C" w:rsidP="00034CCB">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 w:val="20"/>
                <w:szCs w:val="20"/>
                <w:lang w:val="en-GB"/>
              </w:rPr>
            </w:pPr>
            <w:hyperlink r:id="rId8" w:history="1">
              <w:r w:rsidRPr="004B4907">
                <w:rPr>
                  <w:rStyle w:val="Hyperlink"/>
                  <w:sz w:val="20"/>
                  <w:szCs w:val="20"/>
                  <w:lang w:val="en-GB"/>
                </w:rPr>
                <w:t>https://www.paragraf.rs/propisi/zakon_o_energetici.html</w:t>
              </w:r>
            </w:hyperlink>
            <w:r w:rsidRPr="004B4907">
              <w:rPr>
                <w:sz w:val="20"/>
                <w:szCs w:val="20"/>
                <w:lang w:val="en-GB"/>
              </w:rPr>
              <w:t xml:space="preserve"> </w:t>
            </w:r>
          </w:p>
          <w:p w14:paraId="3DE3D70A" w14:textId="77777777" w:rsidR="00F5171C" w:rsidRPr="004B4907" w:rsidRDefault="00F5171C" w:rsidP="00034CCB">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 w:val="20"/>
                <w:szCs w:val="20"/>
                <w:lang w:val="en-GB"/>
              </w:rPr>
            </w:pPr>
            <w:hyperlink r:id="rId9" w:history="1">
              <w:r w:rsidRPr="004B4907">
                <w:rPr>
                  <w:rStyle w:val="Hyperlink"/>
                  <w:sz w:val="20"/>
                  <w:szCs w:val="20"/>
                  <w:lang w:val="en-GB"/>
                </w:rPr>
                <w:t>https://www.transportgas-srbija.rs/sr/pristup-sistemu/pravila-o-radu-transportnog-sistema</w:t>
              </w:r>
            </w:hyperlink>
            <w:r w:rsidRPr="004B4907">
              <w:rPr>
                <w:sz w:val="20"/>
                <w:szCs w:val="20"/>
                <w:lang w:val="en-GB"/>
              </w:rPr>
              <w:t xml:space="preserve">   </w:t>
            </w:r>
          </w:p>
          <w:p w14:paraId="68BD676F" w14:textId="77777777" w:rsidR="00F5171C" w:rsidRPr="00322E49" w:rsidRDefault="00F5171C" w:rsidP="00034CCB">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0" w:history="1">
              <w:r w:rsidRPr="004B4907">
                <w:rPr>
                  <w:rStyle w:val="Hyperlink"/>
                  <w:sz w:val="20"/>
                  <w:szCs w:val="20"/>
                </w:rPr>
                <w:t>https://api.transportgas-srbija.rs/assets/godisnji-izvestaj-za-nediskriminatorno-ponasanje-za-2024.-godinu.pdf</w:t>
              </w:r>
            </w:hyperlink>
            <w:r w:rsidRPr="004B4907">
              <w:rPr>
                <w:sz w:val="20"/>
                <w:szCs w:val="20"/>
              </w:rPr>
              <w:t xml:space="preserve"> </w:t>
            </w:r>
          </w:p>
          <w:p w14:paraId="4535EE22" w14:textId="77777777" w:rsidR="00F5171C" w:rsidRPr="00322E49" w:rsidRDefault="00F5171C" w:rsidP="00034CCB">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 w:val="20"/>
                <w:szCs w:val="20"/>
                <w:lang w:val="en-GB"/>
              </w:rPr>
            </w:pPr>
            <w:hyperlink r:id="rId11" w:history="1">
              <w:r w:rsidRPr="004A24BF">
                <w:rPr>
                  <w:rStyle w:val="Hyperlink"/>
                  <w:sz w:val="20"/>
                  <w:szCs w:val="20"/>
                  <w:lang w:val="en-GB"/>
                </w:rPr>
                <w:t>https://www.energy-community.org/dam/jcr:5b4ff2d5-5672-4989-ad81-d7fd9e27a7f7/Serbia_IR25CP.pdf</w:t>
              </w:r>
            </w:hyperlink>
            <w:r>
              <w:rPr>
                <w:sz w:val="20"/>
                <w:szCs w:val="20"/>
                <w:lang w:val="en-GB"/>
              </w:rPr>
              <w:t xml:space="preserve"> </w:t>
            </w:r>
          </w:p>
          <w:p w14:paraId="40FD5BE7" w14:textId="77777777" w:rsidR="00F5171C" w:rsidRPr="004B4907" w:rsidRDefault="00F5171C" w:rsidP="00034CCB">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2" w:history="1">
              <w:r w:rsidRPr="004B4907">
                <w:rPr>
                  <w:rStyle w:val="Hyperlink"/>
                  <w:sz w:val="20"/>
                  <w:szCs w:val="20"/>
                </w:rPr>
                <w:t>https://api.transportgas-srbija.rs/assets/korisnicko-uputstvo---za-korisnika.pdf</w:t>
              </w:r>
            </w:hyperlink>
            <w:r w:rsidRPr="004B4907">
              <w:rPr>
                <w:sz w:val="20"/>
                <w:szCs w:val="20"/>
              </w:rPr>
              <w:t xml:space="preserve"> </w:t>
            </w:r>
          </w:p>
          <w:p w14:paraId="52BB86AE" w14:textId="77777777" w:rsidR="00F5171C" w:rsidRPr="004B4907" w:rsidRDefault="00F5171C" w:rsidP="00034CCB">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3" w:history="1">
              <w:r w:rsidRPr="004B4907">
                <w:rPr>
                  <w:rStyle w:val="Hyperlink"/>
                  <w:sz w:val="20"/>
                  <w:szCs w:val="20"/>
                </w:rPr>
                <w:t>https://kp.transportgas-srbija.com/capacity-allocation</w:t>
              </w:r>
            </w:hyperlink>
          </w:p>
          <w:p w14:paraId="7F2AB246" w14:textId="77777777" w:rsidR="00F5171C" w:rsidRPr="004A173C" w:rsidRDefault="00F5171C" w:rsidP="00034CCB">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4" w:history="1">
              <w:r w:rsidRPr="004B4907">
                <w:rPr>
                  <w:rStyle w:val="Hyperlink"/>
                  <w:sz w:val="20"/>
                  <w:szCs w:val="20"/>
                </w:rPr>
                <w:t>https://kp.transportgas-srbija.com/OfferView</w:t>
              </w:r>
            </w:hyperlink>
            <w:r w:rsidRPr="004B4907">
              <w:rPr>
                <w:sz w:val="20"/>
                <w:szCs w:val="20"/>
              </w:rPr>
              <w:t xml:space="preserve">  </w:t>
            </w:r>
          </w:p>
          <w:p w14:paraId="60318079" w14:textId="77777777" w:rsidR="007640B6" w:rsidRDefault="007640B6" w:rsidP="007640B6">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5" w:history="1">
              <w:r w:rsidRPr="00DD5194">
                <w:rPr>
                  <w:rStyle w:val="Hyperlink"/>
                  <w:sz w:val="20"/>
                  <w:szCs w:val="20"/>
                  <w:lang w:val="en-GB"/>
                </w:rPr>
                <w:t>https://www.transportgas-srbija.rs/vesti/obavestenje-o-zapocinjanju-javnix-konsultacija-vezano-za-nacrt-pravila-o-radu-transportnog-sistema-transportgas-srbija-doo-i-nacrta-modela-ugovora-o-transportu-prirodnog-gasa</w:t>
              </w:r>
            </w:hyperlink>
          </w:p>
          <w:p w14:paraId="4FBB5179" w14:textId="72E3262A" w:rsidR="007640B6" w:rsidRPr="007640B6" w:rsidRDefault="007640B6" w:rsidP="007640B6">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34767">
              <w:rPr>
                <w:sz w:val="20"/>
                <w:szCs w:val="20"/>
                <w:lang w:val="en-GB"/>
              </w:rPr>
              <w:t>https://api.transportgas-srbija.rs/assets/izvestaj-sa-javne-konsultacije-vezane-za-nacrt-pravila-o-radu-transportnog-sistema-transportgas-srbija.doc</w:t>
            </w:r>
          </w:p>
          <w:p w14:paraId="24062B4E" w14:textId="77777777" w:rsidR="00F5171C" w:rsidRPr="00980D5A" w:rsidRDefault="00F5171C" w:rsidP="00034CCB">
            <w:pPr>
              <w:ind w:left="360"/>
              <w:cnfStyle w:val="000000000000" w:firstRow="0" w:lastRow="0" w:firstColumn="0" w:lastColumn="0" w:oddVBand="0" w:evenVBand="0" w:oddHBand="0" w:evenHBand="0" w:firstRowFirstColumn="0" w:firstRowLastColumn="0" w:lastRowFirstColumn="0" w:lastRowLastColumn="0"/>
              <w:rPr>
                <w:sz w:val="20"/>
                <w:szCs w:val="20"/>
                <w:lang w:val="en-GB"/>
              </w:rPr>
            </w:pPr>
            <w:r w:rsidRPr="00C336CA">
              <w:rPr>
                <w:sz w:val="20"/>
                <w:szCs w:val="20"/>
                <w:lang w:val="en-GB"/>
              </w:rPr>
              <w:t xml:space="preserve"> </w:t>
            </w:r>
          </w:p>
          <w:p w14:paraId="1BB81D30" w14:textId="77777777" w:rsidR="00F5171C" w:rsidRPr="002C702E" w:rsidRDefault="00F5171C" w:rsidP="00034CCB">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Date of publication</w:t>
            </w:r>
            <w:r w:rsidRPr="002C702E">
              <w:rPr>
                <w:sz w:val="20"/>
                <w:szCs w:val="20"/>
                <w:lang w:val="en-GB"/>
              </w:rPr>
              <w:t xml:space="preserve">: </w:t>
            </w:r>
          </w:p>
          <w:p w14:paraId="014489B7" w14:textId="77777777" w:rsidR="00F5171C" w:rsidRPr="002C702E" w:rsidRDefault="00F5171C" w:rsidP="00034CCB">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1) </w:t>
            </w:r>
            <w:proofErr w:type="gramStart"/>
            <w:r>
              <w:rPr>
                <w:sz w:val="20"/>
                <w:szCs w:val="20"/>
                <w:lang w:val="en-GB"/>
              </w:rPr>
              <w:t>November,</w:t>
            </w:r>
            <w:proofErr w:type="gramEnd"/>
            <w:r>
              <w:rPr>
                <w:sz w:val="20"/>
                <w:szCs w:val="20"/>
                <w:lang w:val="en-GB"/>
              </w:rPr>
              <w:t xml:space="preserve"> 2024</w:t>
            </w:r>
          </w:p>
          <w:p w14:paraId="3D63EBB3" w14:textId="77777777" w:rsidR="00F5171C" w:rsidRDefault="00F5171C" w:rsidP="00034CCB">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2) </w:t>
            </w:r>
            <w:proofErr w:type="gramStart"/>
            <w:r>
              <w:rPr>
                <w:sz w:val="20"/>
                <w:szCs w:val="20"/>
                <w:lang w:val="en-GB"/>
              </w:rPr>
              <w:t>January,</w:t>
            </w:r>
            <w:proofErr w:type="gramEnd"/>
            <w:r>
              <w:rPr>
                <w:sz w:val="20"/>
                <w:szCs w:val="20"/>
                <w:lang w:val="en-GB"/>
              </w:rPr>
              <w:t xml:space="preserve"> 2025</w:t>
            </w:r>
          </w:p>
          <w:p w14:paraId="3D56110A" w14:textId="77777777" w:rsidR="00F5171C" w:rsidRDefault="00F5171C" w:rsidP="00034CCB">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3) </w:t>
            </w:r>
            <w:proofErr w:type="gramStart"/>
            <w:r>
              <w:rPr>
                <w:sz w:val="20"/>
                <w:szCs w:val="20"/>
                <w:lang w:val="en-GB"/>
              </w:rPr>
              <w:t>November,</w:t>
            </w:r>
            <w:proofErr w:type="gramEnd"/>
            <w:r>
              <w:rPr>
                <w:sz w:val="20"/>
                <w:szCs w:val="20"/>
                <w:lang w:val="en-GB"/>
              </w:rPr>
              <w:t xml:space="preserve"> 2025.</w:t>
            </w:r>
          </w:p>
          <w:p w14:paraId="29D877DD" w14:textId="77777777" w:rsidR="00F5171C" w:rsidRDefault="00F5171C" w:rsidP="00034CCB">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4) </w:t>
            </w:r>
            <w:proofErr w:type="gramStart"/>
            <w:r>
              <w:rPr>
                <w:sz w:val="20"/>
                <w:szCs w:val="20"/>
                <w:lang w:val="en-GB"/>
              </w:rPr>
              <w:t>December,</w:t>
            </w:r>
            <w:proofErr w:type="gramEnd"/>
            <w:r>
              <w:rPr>
                <w:sz w:val="20"/>
                <w:szCs w:val="20"/>
                <w:lang w:val="en-GB"/>
              </w:rPr>
              <w:t xml:space="preserve"> 2025</w:t>
            </w:r>
          </w:p>
          <w:p w14:paraId="6C19187D" w14:textId="77777777" w:rsidR="00F5171C" w:rsidRDefault="00F5171C" w:rsidP="00034CCB">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lastRenderedPageBreak/>
              <w:t>5)-7) Accessed February 26, 2026.</w:t>
            </w:r>
          </w:p>
          <w:p w14:paraId="5AD9174B" w14:textId="6D6F69BB" w:rsidR="007640B6" w:rsidRDefault="007640B6" w:rsidP="007640B6">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8) </w:t>
            </w:r>
            <w:proofErr w:type="gramStart"/>
            <w:r>
              <w:rPr>
                <w:sz w:val="20"/>
                <w:szCs w:val="20"/>
                <w:lang w:val="en-GB"/>
              </w:rPr>
              <w:t>August,</w:t>
            </w:r>
            <w:proofErr w:type="gramEnd"/>
            <w:r>
              <w:rPr>
                <w:sz w:val="20"/>
                <w:szCs w:val="20"/>
                <w:lang w:val="en-GB"/>
              </w:rPr>
              <w:t xml:space="preserve"> 2024.</w:t>
            </w:r>
          </w:p>
          <w:p w14:paraId="707B1AD8" w14:textId="2A683F6E" w:rsidR="007640B6" w:rsidRPr="007640B6" w:rsidRDefault="007640B6" w:rsidP="007640B6">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9) September, 2024</w:t>
            </w:r>
          </w:p>
        </w:tc>
      </w:tr>
      <w:tr w:rsidR="00F5171C" w:rsidRPr="002C702E" w14:paraId="73772C0C" w14:textId="77777777" w:rsidTr="00034CCB">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F104C93" w14:textId="77777777" w:rsidR="00F5171C" w:rsidRPr="002C702E" w:rsidRDefault="00F5171C" w:rsidP="00034CCB">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quality of the final output of the reform step</w:t>
            </w:r>
          </w:p>
        </w:tc>
        <w:tc>
          <w:tcPr>
            <w:tcW w:w="6753" w:type="dxa"/>
          </w:tcPr>
          <w:p w14:paraId="3F567945" w14:textId="77777777" w:rsidR="00F5171C" w:rsidRPr="006D16D1"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AE5DF9">
              <w:rPr>
                <w:sz w:val="20"/>
                <w:szCs w:val="20"/>
              </w:rPr>
              <w:t xml:space="preserve">The quality benchmark is EU/Energy Community acquis: “open capacity allocation on a non-discriminatory basis” coupled with effective TPA. The European Commission explicitly states this remains to be fully implemented for IBS in line with the Energy Community acquis and Serbia’s Reform Agenda commitments, which directly implies the output is not yet fully aligned to accession expectations. </w:t>
            </w:r>
          </w:p>
        </w:tc>
      </w:tr>
    </w:tbl>
    <w:p w14:paraId="3DE1BC59" w14:textId="77777777" w:rsidR="00F5171C" w:rsidRPr="002C702E" w:rsidRDefault="00F5171C" w:rsidP="00F5171C">
      <w:pPr>
        <w:rPr>
          <w:lang w:val="en-GB"/>
        </w:rPr>
      </w:pPr>
    </w:p>
    <w:p w14:paraId="18038311" w14:textId="77777777" w:rsidR="00F5171C" w:rsidRPr="002C702E" w:rsidRDefault="00F5171C" w:rsidP="00F5171C">
      <w:pPr>
        <w:pStyle w:val="Heading1"/>
        <w:numPr>
          <w:ilvl w:val="0"/>
          <w:numId w:val="10"/>
        </w:numPr>
        <w:rPr>
          <w:lang w:val="en-GB"/>
        </w:rPr>
      </w:pPr>
      <w:r w:rsidRPr="002C702E">
        <w:rPr>
          <w:lang w:val="en-GB"/>
        </w:rPr>
        <w:t>Final assessment</w:t>
      </w:r>
    </w:p>
    <w:p w14:paraId="59C7E9C2" w14:textId="77777777" w:rsidR="00F5171C" w:rsidRPr="002C702E" w:rsidRDefault="00F5171C" w:rsidP="00F5171C">
      <w:pPr>
        <w:rPr>
          <w:lang w:val="en-GB"/>
        </w:rPr>
      </w:pPr>
    </w:p>
    <w:tbl>
      <w:tblPr>
        <w:tblStyle w:val="GridTable1Light"/>
        <w:tblW w:w="0" w:type="auto"/>
        <w:tblLook w:val="0480" w:firstRow="0" w:lastRow="0" w:firstColumn="1" w:lastColumn="0" w:noHBand="0" w:noVBand="1"/>
      </w:tblPr>
      <w:tblGrid>
        <w:gridCol w:w="2263"/>
        <w:gridCol w:w="6753"/>
      </w:tblGrid>
      <w:tr w:rsidR="00F5171C" w:rsidRPr="002C702E" w14:paraId="3E6E4522" w14:textId="77777777" w:rsidTr="00034CCB">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55F955C" w14:textId="2DF96D02" w:rsidR="00F5171C" w:rsidRPr="002C702E" w:rsidRDefault="00F5171C" w:rsidP="00034CCB">
            <w:pPr>
              <w:spacing w:before="60" w:after="60"/>
              <w:rPr>
                <w:sz w:val="20"/>
                <w:szCs w:val="20"/>
                <w:lang w:val="en-GB"/>
              </w:rPr>
            </w:pPr>
            <w:r w:rsidRPr="002C702E">
              <w:rPr>
                <w:sz w:val="20"/>
                <w:szCs w:val="20"/>
                <w:lang w:val="en-GB"/>
              </w:rPr>
              <w:t>Assess formal achievement</w:t>
            </w:r>
          </w:p>
        </w:tc>
        <w:tc>
          <w:tcPr>
            <w:tcW w:w="6753" w:type="dxa"/>
          </w:tcPr>
          <w:p w14:paraId="3F6FC891" w14:textId="77777777" w:rsidR="00F5171C" w:rsidRPr="002C702E" w:rsidRDefault="00F5171C" w:rsidP="00034CCB">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Pr>
                <w:b/>
                <w:bCs/>
                <w:sz w:val="20"/>
                <w:szCs w:val="20"/>
                <w:lang w:val="en-GB"/>
              </w:rPr>
              <w:t>Not achieved</w:t>
            </w:r>
          </w:p>
        </w:tc>
      </w:tr>
      <w:tr w:rsidR="00F5171C" w:rsidRPr="002C702E" w14:paraId="1F6D91E7" w14:textId="77777777" w:rsidTr="00034CCB">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75EF6C1" w14:textId="77777777" w:rsidR="00F5171C" w:rsidRPr="002C702E" w:rsidRDefault="00F5171C" w:rsidP="00034CCB">
            <w:pPr>
              <w:spacing w:before="60" w:after="60"/>
              <w:rPr>
                <w:sz w:val="20"/>
                <w:szCs w:val="20"/>
                <w:lang w:val="en-GB"/>
              </w:rPr>
            </w:pPr>
            <w:r w:rsidRPr="002C702E">
              <w:rPr>
                <w:sz w:val="20"/>
                <w:szCs w:val="20"/>
                <w:lang w:val="en-GB"/>
              </w:rPr>
              <w:t>Elaboration of final assessment</w:t>
            </w:r>
          </w:p>
        </w:tc>
        <w:tc>
          <w:tcPr>
            <w:tcW w:w="6753" w:type="dxa"/>
          </w:tcPr>
          <w:p w14:paraId="012D15F2" w14:textId="77777777" w:rsidR="00F5171C" w:rsidRDefault="00F5171C" w:rsidP="00034CC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B270A9">
              <w:rPr>
                <w:sz w:val="20"/>
                <w:szCs w:val="20"/>
                <w:lang w:val="en-GB"/>
              </w:rPr>
              <w:t>While a platform-based annual allocation cycle is evidenced and aligned with ENTSO</w:t>
            </w:r>
            <w:r>
              <w:rPr>
                <w:sz w:val="20"/>
                <w:szCs w:val="20"/>
                <w:lang w:val="en-GB"/>
              </w:rPr>
              <w:t>-</w:t>
            </w:r>
            <w:r w:rsidRPr="00B270A9">
              <w:rPr>
                <w:sz w:val="20"/>
                <w:szCs w:val="20"/>
                <w:lang w:val="en-GB"/>
              </w:rPr>
              <w:t xml:space="preserve">G calendar logic, the step’s substance is opening capacities at </w:t>
            </w:r>
            <w:proofErr w:type="spellStart"/>
            <w:r w:rsidRPr="00B270A9">
              <w:rPr>
                <w:sz w:val="20"/>
                <w:szCs w:val="20"/>
                <w:lang w:val="en-GB"/>
              </w:rPr>
              <w:t>Horgoš</w:t>
            </w:r>
            <w:proofErr w:type="spellEnd"/>
            <w:r w:rsidRPr="00B270A9">
              <w:rPr>
                <w:sz w:val="20"/>
                <w:szCs w:val="20"/>
                <w:lang w:val="en-GB"/>
              </w:rPr>
              <w:t xml:space="preserve"> and IBS in a non-discriminatory, open manner. EU and Energy Community monitoring still describe open capacity allocation and unrestricted TPA as pending even after IBS commercial operations began</w:t>
            </w:r>
            <w:r>
              <w:rPr>
                <w:sz w:val="20"/>
                <w:szCs w:val="20"/>
                <w:lang w:val="en-GB"/>
              </w:rPr>
              <w:t xml:space="preserve">, due to the lack of operationalization of the </w:t>
            </w:r>
            <w:proofErr w:type="spellStart"/>
            <w:r>
              <w:rPr>
                <w:sz w:val="20"/>
                <w:szCs w:val="20"/>
                <w:lang w:val="en-GB"/>
              </w:rPr>
              <w:t>Transportgas</w:t>
            </w:r>
            <w:proofErr w:type="spellEnd"/>
            <w:r>
              <w:rPr>
                <w:sz w:val="20"/>
                <w:szCs w:val="20"/>
                <w:lang w:val="en-GB"/>
              </w:rPr>
              <w:t xml:space="preserve"> </w:t>
            </w:r>
            <w:proofErr w:type="spellStart"/>
            <w:r>
              <w:rPr>
                <w:sz w:val="20"/>
                <w:szCs w:val="20"/>
                <w:lang w:val="en-GB"/>
              </w:rPr>
              <w:t>Srbija</w:t>
            </w:r>
            <w:proofErr w:type="spellEnd"/>
            <w:r>
              <w:rPr>
                <w:sz w:val="20"/>
                <w:szCs w:val="20"/>
                <w:lang w:val="en-GB"/>
              </w:rPr>
              <w:t xml:space="preserve"> booking platform. Further development of the platform and the participation of TSO in the Regional Booking Platform should fix this issue.</w:t>
            </w:r>
          </w:p>
          <w:p w14:paraId="39AF917F" w14:textId="77777777" w:rsidR="00F5171C" w:rsidRPr="003E583F" w:rsidRDefault="00F5171C" w:rsidP="00034CCB">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We therefore consider this reform step as </w:t>
            </w:r>
            <w:r w:rsidRPr="00BE6FF1">
              <w:rPr>
                <w:b/>
                <w:bCs/>
                <w:sz w:val="20"/>
                <w:szCs w:val="20"/>
                <w:lang w:val="en-GB"/>
              </w:rPr>
              <w:t>not achieved</w:t>
            </w:r>
            <w:r>
              <w:rPr>
                <w:sz w:val="20"/>
                <w:szCs w:val="20"/>
                <w:lang w:val="en-GB"/>
              </w:rPr>
              <w:t xml:space="preserve">, but with significant progress made in the reporting period. </w:t>
            </w:r>
          </w:p>
        </w:tc>
      </w:tr>
    </w:tbl>
    <w:p w14:paraId="498304EA" w14:textId="77777777" w:rsidR="00F5171C" w:rsidRDefault="00F5171C" w:rsidP="00F5171C"/>
    <w:p w14:paraId="20A2E4FC" w14:textId="77777777" w:rsidR="00F5171C" w:rsidRDefault="00F5171C"/>
    <w:sectPr w:rsidR="00F517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ECA09" w14:textId="77777777" w:rsidR="00D054AD" w:rsidRDefault="00D054AD" w:rsidP="00F5171C">
      <w:r>
        <w:separator/>
      </w:r>
    </w:p>
  </w:endnote>
  <w:endnote w:type="continuationSeparator" w:id="0">
    <w:p w14:paraId="72B207C2" w14:textId="77777777" w:rsidR="00D054AD" w:rsidRDefault="00D054AD" w:rsidP="00F5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B3705" w14:textId="77777777" w:rsidR="00D054AD" w:rsidRDefault="00D054AD" w:rsidP="00F5171C">
      <w:r>
        <w:separator/>
      </w:r>
    </w:p>
  </w:footnote>
  <w:footnote w:type="continuationSeparator" w:id="0">
    <w:p w14:paraId="5D8A2843" w14:textId="77777777" w:rsidR="00D054AD" w:rsidRDefault="00D054AD" w:rsidP="00F5171C">
      <w:r>
        <w:continuationSeparator/>
      </w:r>
    </w:p>
  </w:footnote>
  <w:footnote w:id="1">
    <w:p w14:paraId="5DFAE5C9" w14:textId="4C01380D" w:rsidR="00D34767" w:rsidRDefault="00D34767">
      <w:pPr>
        <w:pStyle w:val="FootnoteText"/>
      </w:pPr>
      <w:r>
        <w:rPr>
          <w:rStyle w:val="FootnoteReference"/>
        </w:rPr>
        <w:footnoteRef/>
      </w:r>
      <w:r>
        <w:t xml:space="preserve"> </w:t>
      </w:r>
      <w:hyperlink r:id="rId1" w:history="1">
        <w:r w:rsidRPr="00DD5194">
          <w:rPr>
            <w:rStyle w:val="Hyperlink"/>
          </w:rPr>
          <w:t>https://api.transportgas-srbija.rs/assets/pravila-o-radu-transportnog-sistema-prirodnog-gasa-transportgas-srbija-doo-novi-sad.pdf</w:t>
        </w:r>
      </w:hyperlink>
      <w:r>
        <w:rPr>
          <w:lang w:val="sr-Cyrl-RS"/>
        </w:rPr>
        <w:t xml:space="preserve"> </w:t>
      </w:r>
      <w:r>
        <w:t xml:space="preserve">(accessed on 26 </w:t>
      </w:r>
      <w:proofErr w:type="gramStart"/>
      <w:r>
        <w:t>February,</w:t>
      </w:r>
      <w:proofErr w:type="gramEnd"/>
      <w:r>
        <w:t xml:space="preserve"> 2026).</w:t>
      </w:r>
    </w:p>
  </w:footnote>
  <w:footnote w:id="2">
    <w:p w14:paraId="422354BC" w14:textId="2E88C193" w:rsidR="00380033" w:rsidRDefault="00380033">
      <w:pPr>
        <w:pStyle w:val="FootnoteText"/>
      </w:pPr>
      <w:r>
        <w:rPr>
          <w:rStyle w:val="FootnoteReference"/>
        </w:rPr>
        <w:footnoteRef/>
      </w:r>
      <w:r>
        <w:t xml:space="preserve"> </w:t>
      </w:r>
      <w:hyperlink r:id="rId2" w:history="1">
        <w:r w:rsidRPr="00DD5194">
          <w:rPr>
            <w:rStyle w:val="Hyperlink"/>
          </w:rPr>
          <w:t>https://www.transportgas-srbija.rs/vesti/obavestenje-o-zapocinjanju-javnix-konsultacija-vezano-za-nacrt-pravila-o-radu-transportnog-sistema-transportgas-srbija-doo-i-nacrta-modela-ugovora-o-transportu-prirodnog-gasa</w:t>
        </w:r>
      </w:hyperlink>
      <w:r>
        <w:t xml:space="preserve">; Report of the results of public consultations is available here: </w:t>
      </w:r>
      <w:hyperlink r:id="rId3" w:history="1">
        <w:r w:rsidRPr="00DD5194">
          <w:rPr>
            <w:rStyle w:val="Hyperlink"/>
          </w:rPr>
          <w:t>https://api.transportgas-srbija.rs/assets/izvestaj-sa-javne-konsultacije-vezane-za-nacrt-pravila-o-radu-transportnog-sistema-transportgas-srbija.doc</w:t>
        </w:r>
      </w:hyperlink>
      <w:r>
        <w:t xml:space="preserve"> (accessed </w:t>
      </w:r>
      <w:r w:rsidR="00AC3D29">
        <w:t xml:space="preserve">on </w:t>
      </w:r>
      <w:r>
        <w:t xml:space="preserve">26 February, 2026). </w:t>
      </w:r>
    </w:p>
  </w:footnote>
  <w:footnote w:id="3">
    <w:p w14:paraId="12AA0746" w14:textId="2CAB3DF2" w:rsidR="00380033" w:rsidRDefault="00380033">
      <w:pPr>
        <w:pStyle w:val="FootnoteText"/>
      </w:pPr>
      <w:r>
        <w:rPr>
          <w:rStyle w:val="FootnoteReference"/>
        </w:rPr>
        <w:footnoteRef/>
      </w:r>
      <w:r>
        <w:t xml:space="preserve"> </w:t>
      </w:r>
      <w:hyperlink r:id="rId4" w:history="1">
        <w:r w:rsidRPr="00DD5194">
          <w:rPr>
            <w:rStyle w:val="Hyperlink"/>
          </w:rPr>
          <w:t>https://api.transportgas-srbija.rs/assets/odluka-saveta-agencije-za-energetiku-republike-srbije-odavanju-saglasnosti-na-pravila-o-radu-(1).pdf</w:t>
        </w:r>
      </w:hyperlink>
      <w:r>
        <w:t xml:space="preserve"> (accessed </w:t>
      </w:r>
      <w:r w:rsidR="00AC3D29">
        <w:t xml:space="preserve">on </w:t>
      </w:r>
      <w:r>
        <w:t xml:space="preserve">26 </w:t>
      </w:r>
      <w:proofErr w:type="gramStart"/>
      <w:r>
        <w:t>February,</w:t>
      </w:r>
      <w:proofErr w:type="gramEnd"/>
      <w:r>
        <w:t xml:space="preserve"> 2026).</w:t>
      </w:r>
    </w:p>
  </w:footnote>
  <w:footnote w:id="4">
    <w:p w14:paraId="6A8DD252" w14:textId="736773E5" w:rsidR="00380033" w:rsidRDefault="00380033">
      <w:pPr>
        <w:pStyle w:val="FootnoteText"/>
      </w:pPr>
      <w:r>
        <w:rPr>
          <w:rStyle w:val="FootnoteReference"/>
        </w:rPr>
        <w:footnoteRef/>
      </w:r>
      <w:r>
        <w:t xml:space="preserve"> </w:t>
      </w:r>
      <w:hyperlink r:id="rId5" w:history="1">
        <w:r w:rsidRPr="00DD5194">
          <w:rPr>
            <w:rStyle w:val="Hyperlink"/>
          </w:rPr>
          <w:t>https://api.transportgas-srbija.rs/assets/godisnji-izvestaj-za-nediskriminatorno-ponasanje-za-2024.-godinu.pdf</w:t>
        </w:r>
      </w:hyperlink>
      <w:r>
        <w:t xml:space="preserve"> (accessed </w:t>
      </w:r>
      <w:r w:rsidR="00AC3D29">
        <w:t xml:space="preserve">on </w:t>
      </w:r>
      <w:r>
        <w:t>26 February,2026).</w:t>
      </w:r>
    </w:p>
  </w:footnote>
  <w:footnote w:id="5">
    <w:p w14:paraId="35BE2922" w14:textId="691122CF" w:rsidR="00380033" w:rsidRDefault="00380033">
      <w:pPr>
        <w:pStyle w:val="FootnoteText"/>
      </w:pPr>
      <w:r>
        <w:rPr>
          <w:rStyle w:val="FootnoteReference"/>
        </w:rPr>
        <w:footnoteRef/>
      </w:r>
      <w:r>
        <w:t xml:space="preserve"> </w:t>
      </w:r>
      <w:hyperlink r:id="rId6" w:history="1">
        <w:r w:rsidR="00D40FE0" w:rsidRPr="00DD5194">
          <w:rPr>
            <w:rStyle w:val="Hyperlink"/>
          </w:rPr>
          <w:t>https://kp.transportgas-srbija.com/</w:t>
        </w:r>
      </w:hyperlink>
      <w:r w:rsidR="00D40FE0">
        <w:t xml:space="preserve"> (accessed </w:t>
      </w:r>
      <w:r w:rsidR="00AC3D29">
        <w:t xml:space="preserve">on </w:t>
      </w:r>
      <w:r w:rsidR="00D40FE0">
        <w:t xml:space="preserve">26 </w:t>
      </w:r>
      <w:proofErr w:type="gramStart"/>
      <w:r w:rsidR="00D40FE0">
        <w:t>February,</w:t>
      </w:r>
      <w:proofErr w:type="gramEnd"/>
      <w:r w:rsidR="00D40FE0">
        <w:t xml:space="preserve"> 2026).</w:t>
      </w:r>
    </w:p>
  </w:footnote>
  <w:footnote w:id="6">
    <w:p w14:paraId="4D6B9985" w14:textId="43D11258" w:rsidR="008179DD" w:rsidRDefault="008179DD">
      <w:pPr>
        <w:pStyle w:val="FootnoteText"/>
      </w:pPr>
      <w:r>
        <w:rPr>
          <w:rStyle w:val="FootnoteReference"/>
        </w:rPr>
        <w:footnoteRef/>
      </w:r>
      <w:r>
        <w:t xml:space="preserve"> </w:t>
      </w:r>
      <w:hyperlink r:id="rId7" w:history="1">
        <w:r w:rsidRPr="00DD5194">
          <w:rPr>
            <w:rStyle w:val="Hyperlink"/>
          </w:rPr>
          <w:t>https://api.transportgas-srbija.rs/assets/pravila-o-radu-transportnog-sistema-prirodnog-gasa-transportgas-srbija-doo-novi-sad.pdf</w:t>
        </w:r>
      </w:hyperlink>
      <w:r>
        <w:t xml:space="preserve"> (accessed </w:t>
      </w:r>
      <w:r w:rsidR="00AC3D29">
        <w:t xml:space="preserve">on </w:t>
      </w:r>
      <w:r>
        <w:t xml:space="preserve">26 </w:t>
      </w:r>
      <w:proofErr w:type="gramStart"/>
      <w:r>
        <w:t>February,</w:t>
      </w:r>
      <w:proofErr w:type="gramEnd"/>
      <w:r>
        <w:t xml:space="preserve"> 2026).</w:t>
      </w:r>
    </w:p>
  </w:footnote>
  <w:footnote w:id="7">
    <w:p w14:paraId="6BDDCCD4" w14:textId="4473EB3D" w:rsidR="008179DD" w:rsidRDefault="008179DD">
      <w:pPr>
        <w:pStyle w:val="FootnoteText"/>
      </w:pPr>
      <w:r>
        <w:rPr>
          <w:rStyle w:val="FootnoteReference"/>
        </w:rPr>
        <w:footnoteRef/>
      </w:r>
      <w:r>
        <w:t xml:space="preserve"> </w:t>
      </w:r>
      <w:hyperlink r:id="rId8" w:history="1">
        <w:r w:rsidRPr="00DD5194">
          <w:rPr>
            <w:rStyle w:val="Hyperlink"/>
          </w:rPr>
          <w:t>https://www.gasconnect.at/en/recent/news/detail/entsog-publishes-auction-calendar-for-2025-2026</w:t>
        </w:r>
      </w:hyperlink>
      <w:r>
        <w:t xml:space="preserve"> (accessed </w:t>
      </w:r>
      <w:r w:rsidR="00AC3D29">
        <w:t xml:space="preserve">on </w:t>
      </w:r>
      <w:r>
        <w:t xml:space="preserve">26 </w:t>
      </w:r>
      <w:proofErr w:type="gramStart"/>
      <w:r>
        <w:t>February,</w:t>
      </w:r>
      <w:proofErr w:type="gramEnd"/>
      <w:r>
        <w:t xml:space="preserve"> 2026).</w:t>
      </w:r>
    </w:p>
  </w:footnote>
  <w:footnote w:id="8">
    <w:p w14:paraId="728D8EA6" w14:textId="7006C066" w:rsidR="008179DD" w:rsidRDefault="008179DD">
      <w:pPr>
        <w:pStyle w:val="FootnoteText"/>
      </w:pPr>
      <w:r>
        <w:rPr>
          <w:rStyle w:val="FootnoteReference"/>
        </w:rPr>
        <w:footnoteRef/>
      </w:r>
      <w:r>
        <w:t xml:space="preserve"> </w:t>
      </w:r>
      <w:hyperlink r:id="rId9" w:history="1">
        <w:r w:rsidRPr="00DD5194">
          <w:rPr>
            <w:rStyle w:val="Hyperlink"/>
          </w:rPr>
          <w:t>https://kp.transportgas-srbija.com/Calendar</w:t>
        </w:r>
      </w:hyperlink>
      <w:r>
        <w:t xml:space="preserve"> (accessed </w:t>
      </w:r>
      <w:r w:rsidR="00AC3D29">
        <w:t xml:space="preserve">on </w:t>
      </w:r>
      <w:r>
        <w:t xml:space="preserve">26 </w:t>
      </w:r>
      <w:proofErr w:type="gramStart"/>
      <w:r>
        <w:t>February,</w:t>
      </w:r>
      <w:proofErr w:type="gramEnd"/>
      <w:r>
        <w:t xml:space="preserve"> 2026).</w:t>
      </w:r>
    </w:p>
  </w:footnote>
  <w:footnote w:id="9">
    <w:p w14:paraId="57567E91" w14:textId="013AC2F5" w:rsidR="008179DD" w:rsidRDefault="008179DD">
      <w:pPr>
        <w:pStyle w:val="FootnoteText"/>
      </w:pPr>
      <w:r>
        <w:rPr>
          <w:rStyle w:val="FootnoteReference"/>
        </w:rPr>
        <w:footnoteRef/>
      </w:r>
      <w:r>
        <w:t xml:space="preserve"> </w:t>
      </w:r>
      <w:hyperlink r:id="rId10" w:history="1">
        <w:r w:rsidRPr="00DD5194">
          <w:rPr>
            <w:rStyle w:val="Hyperlink"/>
          </w:rPr>
          <w:t>https://kp.transportgas-srbija.com/capacity-allocation</w:t>
        </w:r>
      </w:hyperlink>
      <w:r>
        <w:t xml:space="preserve"> (accessed </w:t>
      </w:r>
      <w:r w:rsidR="00AC3D29">
        <w:t>on</w:t>
      </w:r>
      <w:r>
        <w:t xml:space="preserve"> 26 </w:t>
      </w:r>
      <w:proofErr w:type="gramStart"/>
      <w:r>
        <w:t>February,</w:t>
      </w:r>
      <w:proofErr w:type="gramEnd"/>
      <w:r>
        <w:t xml:space="preserve"> 2026).</w:t>
      </w:r>
    </w:p>
  </w:footnote>
  <w:footnote w:id="10">
    <w:p w14:paraId="2A6EF1E7" w14:textId="70116E32" w:rsidR="008179DD" w:rsidRDefault="008179DD">
      <w:pPr>
        <w:pStyle w:val="FootnoteText"/>
      </w:pPr>
      <w:r>
        <w:rPr>
          <w:rStyle w:val="FootnoteReference"/>
        </w:rPr>
        <w:footnoteRef/>
      </w:r>
      <w:r>
        <w:t xml:space="preserve"> </w:t>
      </w:r>
      <w:hyperlink r:id="rId11" w:history="1">
        <w:r w:rsidRPr="00DD5194">
          <w:rPr>
            <w:rStyle w:val="Hyperlink"/>
          </w:rPr>
          <w:t>https://kp.transportgas-srbija.com/api/FileDownload/%D0%9A%D0%BE%D1%80%D0%B8%D1%81%D0%BD%D0%B8%D1%87%D0%BA%D0%BE%20%D1%83%D0%BF%D1%83%D1%82%D1%81%D1%82%D0%B2%D0%BE%20-%20%D0%97%D0%B0%20%D0%BA%D0%BE%D1%80%D0%B8%D1%81%D0%BD%D0%B8%D0%BA%D0%B0.pdf?path=Helpers/UserManual</w:t>
        </w:r>
      </w:hyperlink>
      <w:r>
        <w:t xml:space="preserve"> (accessed on 26 </w:t>
      </w:r>
      <w:proofErr w:type="gramStart"/>
      <w:r>
        <w:t>February,</w:t>
      </w:r>
      <w:proofErr w:type="gramEnd"/>
      <w:r>
        <w:t xml:space="preserve"> 2026).</w:t>
      </w:r>
    </w:p>
  </w:footnote>
  <w:footnote w:id="11">
    <w:p w14:paraId="61061CB5" w14:textId="40467A12" w:rsidR="00B76C09" w:rsidRDefault="00B76C09">
      <w:pPr>
        <w:pStyle w:val="FootnoteText"/>
      </w:pPr>
      <w:r>
        <w:rPr>
          <w:rStyle w:val="FootnoteReference"/>
        </w:rPr>
        <w:footnoteRef/>
      </w:r>
      <w:r>
        <w:t xml:space="preserve"> </w:t>
      </w:r>
      <w:hyperlink r:id="rId12" w:history="1">
        <w:r w:rsidRPr="00DD5194">
          <w:rPr>
            <w:rStyle w:val="Hyperlink"/>
          </w:rPr>
          <w:t>https://kp.transportgas-srbija.com/capacity-allocation</w:t>
        </w:r>
      </w:hyperlink>
      <w:r>
        <w:t xml:space="preserve"> (accessed on 26 </w:t>
      </w:r>
      <w:proofErr w:type="gramStart"/>
      <w:r>
        <w:t>February,</w:t>
      </w:r>
      <w:proofErr w:type="gramEnd"/>
      <w:r>
        <w:t xml:space="preserve"> 2026).</w:t>
      </w:r>
    </w:p>
  </w:footnote>
  <w:footnote w:id="12">
    <w:p w14:paraId="0B499188" w14:textId="43A9531F" w:rsidR="00B76C09" w:rsidRDefault="00B76C09">
      <w:pPr>
        <w:pStyle w:val="FootnoteText"/>
      </w:pPr>
      <w:r>
        <w:rPr>
          <w:rStyle w:val="FootnoteReference"/>
        </w:rPr>
        <w:footnoteRef/>
      </w:r>
      <w:r>
        <w:t xml:space="preserve"> </w:t>
      </w:r>
      <w:hyperlink r:id="rId13" w:history="1">
        <w:r w:rsidRPr="00DD5194">
          <w:rPr>
            <w:rStyle w:val="Hyperlink"/>
          </w:rPr>
          <w:t>https://api.transportgas-srbija.rs/assets/godisnji-izvestaj-za-nediskriminatorno-ponasanje-za-2024.-godinu.pdf</w:t>
        </w:r>
      </w:hyperlink>
      <w:r>
        <w:t xml:space="preserve"> (accessed on 26 </w:t>
      </w:r>
      <w:proofErr w:type="gramStart"/>
      <w:r>
        <w:t>February,</w:t>
      </w:r>
      <w:proofErr w:type="gramEnd"/>
      <w:r>
        <w:t xml:space="preserve"> 2026).</w:t>
      </w:r>
    </w:p>
  </w:footnote>
  <w:footnote w:id="13">
    <w:p w14:paraId="493E0D9E" w14:textId="18692DD8" w:rsidR="00B76C09" w:rsidRDefault="00B76C09">
      <w:pPr>
        <w:pStyle w:val="FootnoteText"/>
      </w:pPr>
      <w:r>
        <w:rPr>
          <w:rStyle w:val="FootnoteReference"/>
        </w:rPr>
        <w:footnoteRef/>
      </w:r>
      <w:r>
        <w:t xml:space="preserve"> </w:t>
      </w:r>
      <w:hyperlink r:id="rId14" w:history="1">
        <w:r w:rsidRPr="00DD5194">
          <w:rPr>
            <w:rStyle w:val="Hyperlink"/>
          </w:rPr>
          <w:t>https://kp.transportgas-srbija.com/capacity-allocation</w:t>
        </w:r>
      </w:hyperlink>
      <w:r>
        <w:t xml:space="preserve"> (accessed on 26 </w:t>
      </w:r>
      <w:proofErr w:type="gramStart"/>
      <w:r>
        <w:t>February,</w:t>
      </w:r>
      <w:proofErr w:type="gramEnd"/>
      <w:r>
        <w:t xml:space="preserve"> 2026).</w:t>
      </w:r>
    </w:p>
  </w:footnote>
  <w:footnote w:id="14">
    <w:p w14:paraId="0FE80AF4" w14:textId="3668DE91" w:rsidR="00B76C09" w:rsidRDefault="00B76C09">
      <w:pPr>
        <w:pStyle w:val="FootnoteText"/>
      </w:pPr>
      <w:r>
        <w:rPr>
          <w:rStyle w:val="FootnoteReference"/>
        </w:rPr>
        <w:footnoteRef/>
      </w:r>
      <w:r>
        <w:t xml:space="preserve"> </w:t>
      </w:r>
      <w:hyperlink r:id="rId15" w:history="1">
        <w:r w:rsidRPr="00DD5194">
          <w:rPr>
            <w:rStyle w:val="Hyperlink"/>
          </w:rPr>
          <w:t>https://www.energy-community.org/dam/jcr:5b4ff2d5-5672-4989-ad81-d7fd9e27a7f7/Serbia_IR25CP.pdf</w:t>
        </w:r>
      </w:hyperlink>
      <w:r>
        <w:t xml:space="preserve"> (accessed on 26 </w:t>
      </w:r>
      <w:proofErr w:type="gramStart"/>
      <w:r>
        <w:t>February,</w:t>
      </w:r>
      <w:proofErr w:type="gramEnd"/>
      <w:r>
        <w:t xml:space="preserve"> 2026).</w:t>
      </w:r>
    </w:p>
  </w:footnote>
  <w:footnote w:id="15">
    <w:p w14:paraId="2E6880FB" w14:textId="094E3142" w:rsidR="00B76C09" w:rsidRDefault="00B76C09">
      <w:pPr>
        <w:pStyle w:val="FootnoteText"/>
      </w:pPr>
      <w:r>
        <w:rPr>
          <w:rStyle w:val="FootnoteReference"/>
        </w:rPr>
        <w:footnoteRef/>
      </w:r>
      <w:r>
        <w:t xml:space="preserve"> Ibidem.</w:t>
      </w:r>
    </w:p>
  </w:footnote>
  <w:footnote w:id="16">
    <w:p w14:paraId="7B381A81" w14:textId="02A34F9E" w:rsidR="00B76C09" w:rsidRDefault="00B76C09">
      <w:pPr>
        <w:pStyle w:val="FootnoteText"/>
      </w:pPr>
      <w:r>
        <w:rPr>
          <w:rStyle w:val="FootnoteReference"/>
        </w:rPr>
        <w:footnoteRef/>
      </w:r>
      <w:r>
        <w:t xml:space="preserve"> </w:t>
      </w:r>
      <w:hyperlink r:id="rId16" w:history="1">
        <w:r w:rsidRPr="00DD5194">
          <w:rPr>
            <w:rStyle w:val="Hyperlink"/>
          </w:rPr>
          <w:t>https://www.transportgas-srbija.rs/vesti/obavestenje-o-zapocinjanju-javnix-konsultacija-vezano-za-nacrt-pravila-o-radu-transportnog-sistema-transportgas-srbija-doo-i-nacrta-modela-ugovora-o-transportu-prirodnog-gasa</w:t>
        </w:r>
      </w:hyperlink>
      <w:r>
        <w:t xml:space="preserve">; Report of the results of public consultations is available here: </w:t>
      </w:r>
      <w:hyperlink r:id="rId17" w:history="1">
        <w:r w:rsidRPr="00DD5194">
          <w:rPr>
            <w:rStyle w:val="Hyperlink"/>
          </w:rPr>
          <w:t>https://api.transportgas-srbija.rs/assets/izvestaj-sa-javne-konsultacije-vezane-za-nacrt-pravila-o-radu-transportnog-sistema-transportgas-srbija.doc</w:t>
        </w:r>
      </w:hyperlink>
      <w:r>
        <w:t xml:space="preserve"> (accessed</w:t>
      </w:r>
      <w:r w:rsidR="00AC3D29">
        <w:t xml:space="preserve"> on</w:t>
      </w:r>
      <w:r>
        <w:t xml:space="preserve"> 26 February, 2026).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201"/>
    <w:multiLevelType w:val="multilevel"/>
    <w:tmpl w:val="59A8D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 w15:restartNumberingAfterBreak="0">
    <w:nsid w:val="0144397C"/>
    <w:multiLevelType w:val="hybridMultilevel"/>
    <w:tmpl w:val="0D1EBE1E"/>
    <w:lvl w:ilvl="0" w:tplc="464C33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B0B6D"/>
    <w:multiLevelType w:val="hybridMultilevel"/>
    <w:tmpl w:val="1620236A"/>
    <w:lvl w:ilvl="0" w:tplc="AF3C300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F22D85"/>
    <w:multiLevelType w:val="hybridMultilevel"/>
    <w:tmpl w:val="ED46590C"/>
    <w:lvl w:ilvl="0" w:tplc="8DAEE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564CB1"/>
    <w:multiLevelType w:val="multilevel"/>
    <w:tmpl w:val="59A8D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7" w15:restartNumberingAfterBreak="0">
    <w:nsid w:val="34DA4D71"/>
    <w:multiLevelType w:val="hybridMultilevel"/>
    <w:tmpl w:val="1620236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CA6650"/>
    <w:multiLevelType w:val="hybridMultilevel"/>
    <w:tmpl w:val="EE90CAAE"/>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30462C"/>
    <w:multiLevelType w:val="hybridMultilevel"/>
    <w:tmpl w:val="6AA4B3B0"/>
    <w:lvl w:ilvl="0" w:tplc="4B4ADE1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270AAB"/>
    <w:multiLevelType w:val="hybridMultilevel"/>
    <w:tmpl w:val="B88201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AF2AE3"/>
    <w:multiLevelType w:val="multilevel"/>
    <w:tmpl w:val="59A8D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4" w15:restartNumberingAfterBreak="0">
    <w:nsid w:val="653850E3"/>
    <w:multiLevelType w:val="hybridMultilevel"/>
    <w:tmpl w:val="DD3C0170"/>
    <w:lvl w:ilvl="0" w:tplc="04F8FF76">
      <w:start w:val="1"/>
      <w:numFmt w:val="decimal"/>
      <w:lvlText w:val="%1."/>
      <w:lvlJc w:val="left"/>
      <w:pPr>
        <w:ind w:left="14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7CE6C22"/>
    <w:multiLevelType w:val="hybridMultilevel"/>
    <w:tmpl w:val="996E9CFE"/>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647636317">
    <w:abstractNumId w:val="4"/>
  </w:num>
  <w:num w:numId="2" w16cid:durableId="1952586693">
    <w:abstractNumId w:val="8"/>
  </w:num>
  <w:num w:numId="3" w16cid:durableId="1488397419">
    <w:abstractNumId w:val="9"/>
  </w:num>
  <w:num w:numId="4" w16cid:durableId="277101163">
    <w:abstractNumId w:val="3"/>
  </w:num>
  <w:num w:numId="5" w16cid:durableId="730881506">
    <w:abstractNumId w:val="15"/>
  </w:num>
  <w:num w:numId="6" w16cid:durableId="17933560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5436892">
    <w:abstractNumId w:val="1"/>
  </w:num>
  <w:num w:numId="8" w16cid:durableId="1721005599">
    <w:abstractNumId w:val="6"/>
  </w:num>
  <w:num w:numId="9" w16cid:durableId="134153285">
    <w:abstractNumId w:val="2"/>
  </w:num>
  <w:num w:numId="10" w16cid:durableId="1824278913">
    <w:abstractNumId w:val="5"/>
  </w:num>
  <w:num w:numId="11" w16cid:durableId="101923685">
    <w:abstractNumId w:val="13"/>
  </w:num>
  <w:num w:numId="12" w16cid:durableId="462966704">
    <w:abstractNumId w:val="7"/>
  </w:num>
  <w:num w:numId="13" w16cid:durableId="58679384">
    <w:abstractNumId w:val="14"/>
  </w:num>
  <w:num w:numId="14" w16cid:durableId="1723092050">
    <w:abstractNumId w:val="11"/>
  </w:num>
  <w:num w:numId="15" w16cid:durableId="1618172982">
    <w:abstractNumId w:val="12"/>
  </w:num>
  <w:num w:numId="16" w16cid:durableId="17141090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71C"/>
    <w:rsid w:val="000322DB"/>
    <w:rsid w:val="00047341"/>
    <w:rsid w:val="00073470"/>
    <w:rsid w:val="0008422B"/>
    <w:rsid w:val="00096A6B"/>
    <w:rsid w:val="000E7957"/>
    <w:rsid w:val="00100C05"/>
    <w:rsid w:val="00186258"/>
    <w:rsid w:val="0019378A"/>
    <w:rsid w:val="001D0B0B"/>
    <w:rsid w:val="001E6FD8"/>
    <w:rsid w:val="0021432A"/>
    <w:rsid w:val="0023641D"/>
    <w:rsid w:val="002739F1"/>
    <w:rsid w:val="00283B5C"/>
    <w:rsid w:val="002B6481"/>
    <w:rsid w:val="002D752A"/>
    <w:rsid w:val="00380033"/>
    <w:rsid w:val="003D1094"/>
    <w:rsid w:val="003F1563"/>
    <w:rsid w:val="00413087"/>
    <w:rsid w:val="004332F5"/>
    <w:rsid w:val="00456181"/>
    <w:rsid w:val="004975D9"/>
    <w:rsid w:val="004A173C"/>
    <w:rsid w:val="004B1460"/>
    <w:rsid w:val="005026E8"/>
    <w:rsid w:val="00513E7D"/>
    <w:rsid w:val="006C14C8"/>
    <w:rsid w:val="00725816"/>
    <w:rsid w:val="007640B6"/>
    <w:rsid w:val="007C5D38"/>
    <w:rsid w:val="00812DB2"/>
    <w:rsid w:val="008179DD"/>
    <w:rsid w:val="00821C5E"/>
    <w:rsid w:val="00860B2F"/>
    <w:rsid w:val="008E0292"/>
    <w:rsid w:val="00920633"/>
    <w:rsid w:val="00945895"/>
    <w:rsid w:val="009F6760"/>
    <w:rsid w:val="00A40708"/>
    <w:rsid w:val="00AC1404"/>
    <w:rsid w:val="00AC3D29"/>
    <w:rsid w:val="00AE616B"/>
    <w:rsid w:val="00B372F4"/>
    <w:rsid w:val="00B76C09"/>
    <w:rsid w:val="00BA7DD3"/>
    <w:rsid w:val="00BB1CFD"/>
    <w:rsid w:val="00BC4D51"/>
    <w:rsid w:val="00BD087B"/>
    <w:rsid w:val="00BE6FF1"/>
    <w:rsid w:val="00C51229"/>
    <w:rsid w:val="00CC0416"/>
    <w:rsid w:val="00D054AD"/>
    <w:rsid w:val="00D34767"/>
    <w:rsid w:val="00D40FE0"/>
    <w:rsid w:val="00D76E60"/>
    <w:rsid w:val="00DD1369"/>
    <w:rsid w:val="00E453AC"/>
    <w:rsid w:val="00E550F8"/>
    <w:rsid w:val="00E920BD"/>
    <w:rsid w:val="00EA587A"/>
    <w:rsid w:val="00EF1E86"/>
    <w:rsid w:val="00EF5A42"/>
    <w:rsid w:val="00F13AEE"/>
    <w:rsid w:val="00F5171C"/>
    <w:rsid w:val="00FF3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A6FD3"/>
  <w15:chartTrackingRefBased/>
  <w15:docId w15:val="{A5763E3F-073E-4F3C-A816-16994A63E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1C"/>
    <w:pPr>
      <w:spacing w:after="0" w:line="240" w:lineRule="auto"/>
    </w:pPr>
  </w:style>
  <w:style w:type="paragraph" w:styleId="Heading1">
    <w:name w:val="heading 1"/>
    <w:basedOn w:val="Normal"/>
    <w:next w:val="Normal"/>
    <w:link w:val="Heading1Char"/>
    <w:uiPriority w:val="9"/>
    <w:qFormat/>
    <w:rsid w:val="00F517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17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17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17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17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171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171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171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171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17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17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17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17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17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17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17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17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171C"/>
    <w:rPr>
      <w:rFonts w:eastAsiaTheme="majorEastAsia" w:cstheme="majorBidi"/>
      <w:color w:val="272727" w:themeColor="text1" w:themeTint="D8"/>
    </w:rPr>
  </w:style>
  <w:style w:type="paragraph" w:styleId="Title">
    <w:name w:val="Title"/>
    <w:basedOn w:val="Normal"/>
    <w:next w:val="Normal"/>
    <w:link w:val="TitleChar"/>
    <w:uiPriority w:val="10"/>
    <w:qFormat/>
    <w:rsid w:val="00F5171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17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17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17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171C"/>
    <w:pPr>
      <w:spacing w:before="160"/>
      <w:jc w:val="center"/>
    </w:pPr>
    <w:rPr>
      <w:i/>
      <w:iCs/>
      <w:color w:val="404040" w:themeColor="text1" w:themeTint="BF"/>
    </w:rPr>
  </w:style>
  <w:style w:type="character" w:customStyle="1" w:styleId="QuoteChar">
    <w:name w:val="Quote Char"/>
    <w:basedOn w:val="DefaultParagraphFont"/>
    <w:link w:val="Quote"/>
    <w:uiPriority w:val="29"/>
    <w:rsid w:val="00F5171C"/>
    <w:rPr>
      <w:i/>
      <w:iCs/>
      <w:color w:val="404040" w:themeColor="text1" w:themeTint="BF"/>
    </w:rPr>
  </w:style>
  <w:style w:type="paragraph" w:styleId="ListParagraph">
    <w:name w:val="List Paragraph"/>
    <w:basedOn w:val="Normal"/>
    <w:uiPriority w:val="34"/>
    <w:qFormat/>
    <w:rsid w:val="00F5171C"/>
    <w:pPr>
      <w:ind w:left="720"/>
      <w:contextualSpacing/>
    </w:pPr>
  </w:style>
  <w:style w:type="character" w:styleId="IntenseEmphasis">
    <w:name w:val="Intense Emphasis"/>
    <w:basedOn w:val="DefaultParagraphFont"/>
    <w:uiPriority w:val="21"/>
    <w:qFormat/>
    <w:rsid w:val="00F5171C"/>
    <w:rPr>
      <w:i/>
      <w:iCs/>
      <w:color w:val="0F4761" w:themeColor="accent1" w:themeShade="BF"/>
    </w:rPr>
  </w:style>
  <w:style w:type="paragraph" w:styleId="IntenseQuote">
    <w:name w:val="Intense Quote"/>
    <w:basedOn w:val="Normal"/>
    <w:next w:val="Normal"/>
    <w:link w:val="IntenseQuoteChar"/>
    <w:uiPriority w:val="30"/>
    <w:qFormat/>
    <w:rsid w:val="00F517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171C"/>
    <w:rPr>
      <w:i/>
      <w:iCs/>
      <w:color w:val="0F4761" w:themeColor="accent1" w:themeShade="BF"/>
    </w:rPr>
  </w:style>
  <w:style w:type="character" w:styleId="IntenseReference">
    <w:name w:val="Intense Reference"/>
    <w:basedOn w:val="DefaultParagraphFont"/>
    <w:uiPriority w:val="32"/>
    <w:qFormat/>
    <w:rsid w:val="00F5171C"/>
    <w:rPr>
      <w:b/>
      <w:bCs/>
      <w:smallCaps/>
      <w:color w:val="0F4761" w:themeColor="accent1" w:themeShade="BF"/>
      <w:spacing w:val="5"/>
    </w:rPr>
  </w:style>
  <w:style w:type="table" w:styleId="GridTable1Light">
    <w:name w:val="Grid Table 1 Light"/>
    <w:basedOn w:val="TableNormal"/>
    <w:uiPriority w:val="46"/>
    <w:rsid w:val="00F5171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5171C"/>
    <w:rPr>
      <w:sz w:val="20"/>
      <w:szCs w:val="20"/>
    </w:rPr>
  </w:style>
  <w:style w:type="character" w:customStyle="1" w:styleId="FootnoteTextChar">
    <w:name w:val="Footnote Text Char"/>
    <w:basedOn w:val="DefaultParagraphFont"/>
    <w:link w:val="FootnoteText"/>
    <w:uiPriority w:val="99"/>
    <w:semiHidden/>
    <w:rsid w:val="00F5171C"/>
    <w:rPr>
      <w:sz w:val="20"/>
      <w:szCs w:val="20"/>
    </w:rPr>
  </w:style>
  <w:style w:type="character" w:styleId="FootnoteReference">
    <w:name w:val="footnote reference"/>
    <w:basedOn w:val="DefaultParagraphFont"/>
    <w:uiPriority w:val="99"/>
    <w:semiHidden/>
    <w:unhideWhenUsed/>
    <w:rsid w:val="00F5171C"/>
    <w:rPr>
      <w:vertAlign w:val="superscript"/>
    </w:rPr>
  </w:style>
  <w:style w:type="character" w:styleId="Hyperlink">
    <w:name w:val="Hyperlink"/>
    <w:basedOn w:val="DefaultParagraphFont"/>
    <w:uiPriority w:val="99"/>
    <w:unhideWhenUsed/>
    <w:rsid w:val="00F5171C"/>
    <w:rPr>
      <w:color w:val="467886" w:themeColor="hyperlink"/>
      <w:u w:val="single"/>
    </w:rPr>
  </w:style>
  <w:style w:type="paragraph" w:customStyle="1" w:styleId="Compact">
    <w:name w:val="Compact"/>
    <w:basedOn w:val="BodyText"/>
    <w:qFormat/>
    <w:rsid w:val="00F5171C"/>
    <w:pPr>
      <w:spacing w:before="36" w:after="36"/>
    </w:pPr>
    <w:rPr>
      <w:kern w:val="0"/>
      <w:lang w:val="en"/>
      <w14:ligatures w14:val="none"/>
    </w:rPr>
  </w:style>
  <w:style w:type="paragraph" w:styleId="BodyText">
    <w:name w:val="Body Text"/>
    <w:basedOn w:val="Normal"/>
    <w:link w:val="BodyTextChar"/>
    <w:uiPriority w:val="99"/>
    <w:semiHidden/>
    <w:unhideWhenUsed/>
    <w:rsid w:val="00F5171C"/>
    <w:pPr>
      <w:spacing w:after="120"/>
    </w:pPr>
  </w:style>
  <w:style w:type="character" w:customStyle="1" w:styleId="BodyTextChar">
    <w:name w:val="Body Text Char"/>
    <w:basedOn w:val="DefaultParagraphFont"/>
    <w:link w:val="BodyText"/>
    <w:uiPriority w:val="99"/>
    <w:semiHidden/>
    <w:rsid w:val="00F5171C"/>
  </w:style>
  <w:style w:type="character" w:styleId="CommentReference">
    <w:name w:val="annotation reference"/>
    <w:basedOn w:val="DefaultParagraphFont"/>
    <w:uiPriority w:val="99"/>
    <w:semiHidden/>
    <w:unhideWhenUsed/>
    <w:rsid w:val="00283B5C"/>
    <w:rPr>
      <w:sz w:val="16"/>
      <w:szCs w:val="16"/>
    </w:rPr>
  </w:style>
  <w:style w:type="paragraph" w:styleId="CommentText">
    <w:name w:val="annotation text"/>
    <w:basedOn w:val="Normal"/>
    <w:link w:val="CommentTextChar"/>
    <w:uiPriority w:val="99"/>
    <w:unhideWhenUsed/>
    <w:rsid w:val="00283B5C"/>
    <w:rPr>
      <w:sz w:val="20"/>
      <w:szCs w:val="20"/>
    </w:rPr>
  </w:style>
  <w:style w:type="character" w:customStyle="1" w:styleId="CommentTextChar">
    <w:name w:val="Comment Text Char"/>
    <w:basedOn w:val="DefaultParagraphFont"/>
    <w:link w:val="CommentText"/>
    <w:uiPriority w:val="99"/>
    <w:rsid w:val="00283B5C"/>
    <w:rPr>
      <w:sz w:val="20"/>
      <w:szCs w:val="20"/>
    </w:rPr>
  </w:style>
  <w:style w:type="paragraph" w:styleId="CommentSubject">
    <w:name w:val="annotation subject"/>
    <w:basedOn w:val="CommentText"/>
    <w:next w:val="CommentText"/>
    <w:link w:val="CommentSubjectChar"/>
    <w:uiPriority w:val="99"/>
    <w:semiHidden/>
    <w:unhideWhenUsed/>
    <w:rsid w:val="00283B5C"/>
    <w:rPr>
      <w:b/>
      <w:bCs/>
    </w:rPr>
  </w:style>
  <w:style w:type="character" w:customStyle="1" w:styleId="CommentSubjectChar">
    <w:name w:val="Comment Subject Char"/>
    <w:basedOn w:val="CommentTextChar"/>
    <w:link w:val="CommentSubject"/>
    <w:uiPriority w:val="99"/>
    <w:semiHidden/>
    <w:rsid w:val="00283B5C"/>
    <w:rPr>
      <w:b/>
      <w:bCs/>
      <w:sz w:val="20"/>
      <w:szCs w:val="20"/>
    </w:rPr>
  </w:style>
  <w:style w:type="paragraph" w:styleId="Revision">
    <w:name w:val="Revision"/>
    <w:hidden/>
    <w:uiPriority w:val="99"/>
    <w:semiHidden/>
    <w:rsid w:val="003F1563"/>
    <w:pPr>
      <w:spacing w:after="0" w:line="240" w:lineRule="auto"/>
    </w:pPr>
  </w:style>
  <w:style w:type="character" w:styleId="UnresolvedMention">
    <w:name w:val="Unresolved Mention"/>
    <w:basedOn w:val="DefaultParagraphFont"/>
    <w:uiPriority w:val="99"/>
    <w:semiHidden/>
    <w:unhideWhenUsed/>
    <w:rsid w:val="00821C5E"/>
    <w:rPr>
      <w:color w:val="605E5C"/>
      <w:shd w:val="clear" w:color="auto" w:fill="E1DFDD"/>
    </w:rPr>
  </w:style>
  <w:style w:type="character" w:styleId="FollowedHyperlink">
    <w:name w:val="FollowedHyperlink"/>
    <w:basedOn w:val="DefaultParagraphFont"/>
    <w:uiPriority w:val="99"/>
    <w:semiHidden/>
    <w:unhideWhenUsed/>
    <w:rsid w:val="00C5122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agraf.rs/propisi/zakon_o_energetici.html" TargetMode="External"/><Relationship Id="rId13" Type="http://schemas.openxmlformats.org/officeDocument/2006/relationships/hyperlink" Target="https://kp.transportgas-srbija.com/capacity-alloc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i.transportgas-srbija.rs/assets/korisnicko-uputstvo---za-korisnik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y-community.org/dam/jcr:5b4ff2d5-5672-4989-ad81-d7fd9e27a7f7/Serbia_IR25CP.pdf" TargetMode="External"/><Relationship Id="rId5" Type="http://schemas.openxmlformats.org/officeDocument/2006/relationships/webSettings" Target="webSettings.xml"/><Relationship Id="rId15" Type="http://schemas.openxmlformats.org/officeDocument/2006/relationships/hyperlink" Target="https://www.transportgas-srbija.rs/vesti/obavestenje-o-zapocinjanju-javnix-konsultacija-vezano-za-nacrt-pravila-o-radu-transportnog-sistema-transportgas-srbija-doo-i-nacrta-modela-ugovora-o-transportu-prirodnog-gasa" TargetMode="External"/><Relationship Id="rId10" Type="http://schemas.openxmlformats.org/officeDocument/2006/relationships/hyperlink" Target="https://api.transportgas-srbija.rs/assets/godisnji-izvestaj-za-nediskriminatorno-ponasanje-za-2024.-godinu.pdf" TargetMode="External"/><Relationship Id="rId4" Type="http://schemas.openxmlformats.org/officeDocument/2006/relationships/settings" Target="settings.xml"/><Relationship Id="rId9" Type="http://schemas.openxmlformats.org/officeDocument/2006/relationships/hyperlink" Target="https://www.transportgas-srbija.rs/sr/pristup-sistemu/pravila-o-radu-transportnog-sistema" TargetMode="External"/><Relationship Id="rId14" Type="http://schemas.openxmlformats.org/officeDocument/2006/relationships/hyperlink" Target="https://kp.transportgas-srbija.com/OfferView"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gasconnect.at/en/recent/news/detail/entsog-publishes-auction-calendar-for-2025-2026" TargetMode="External"/><Relationship Id="rId13" Type="http://schemas.openxmlformats.org/officeDocument/2006/relationships/hyperlink" Target="https://api.transportgas-srbija.rs/assets/godisnji-izvestaj-za-nediskriminatorno-ponasanje-za-2024.-godinu.pdf" TargetMode="External"/><Relationship Id="rId3" Type="http://schemas.openxmlformats.org/officeDocument/2006/relationships/hyperlink" Target="https://api.transportgas-srbija.rs/assets/izvestaj-sa-javne-konsultacije-vezane-za-nacrt-pravila-o-radu-transportnog-sistema-transportgas-srbija.doc" TargetMode="External"/><Relationship Id="rId7" Type="http://schemas.openxmlformats.org/officeDocument/2006/relationships/hyperlink" Target="https://api.transportgas-srbija.rs/assets/pravila-o-radu-transportnog-sistema-prirodnog-gasa-transportgas-srbija-doo-novi-sad.pdf" TargetMode="External"/><Relationship Id="rId12" Type="http://schemas.openxmlformats.org/officeDocument/2006/relationships/hyperlink" Target="https://kp.transportgas-srbija.com/capacity-allocation" TargetMode="External"/><Relationship Id="rId17" Type="http://schemas.openxmlformats.org/officeDocument/2006/relationships/hyperlink" Target="https://api.transportgas-srbija.rs/assets/izvestaj-sa-javne-konsultacije-vezane-za-nacrt-pravila-o-radu-transportnog-sistema-transportgas-srbija.doc" TargetMode="External"/><Relationship Id="rId2" Type="http://schemas.openxmlformats.org/officeDocument/2006/relationships/hyperlink" Target="https://www.transportgas-srbija.rs/vesti/obavestenje-o-zapocinjanju-javnix-konsultacija-vezano-za-nacrt-pravila-o-radu-transportnog-sistema-transportgas-srbija-doo-i-nacrta-modela-ugovora-o-transportu-prirodnog-gasa" TargetMode="External"/><Relationship Id="rId16" Type="http://schemas.openxmlformats.org/officeDocument/2006/relationships/hyperlink" Target="https://www.transportgas-srbija.rs/vesti/obavestenje-o-zapocinjanju-javnix-konsultacija-vezano-za-nacrt-pravila-o-radu-transportnog-sistema-transportgas-srbija-doo-i-nacrta-modela-ugovora-o-transportu-prirodnog-gasa" TargetMode="External"/><Relationship Id="rId1" Type="http://schemas.openxmlformats.org/officeDocument/2006/relationships/hyperlink" Target="https://api.transportgas-srbija.rs/assets/pravila-o-radu-transportnog-sistema-prirodnog-gasa-transportgas-srbija-doo-novi-sad.pdf" TargetMode="External"/><Relationship Id="rId6" Type="http://schemas.openxmlformats.org/officeDocument/2006/relationships/hyperlink" Target="https://kp.transportgas-srbija.com/" TargetMode="External"/><Relationship Id="rId11" Type="http://schemas.openxmlformats.org/officeDocument/2006/relationships/hyperlink" Target="https://kp.transportgas-srbija.com/api/FileDownload/%D0%9A%D0%BE%D1%80%D0%B8%D1%81%D0%BD%D0%B8%D1%87%D0%BA%D0%BE%20%D1%83%D0%BF%D1%83%D1%82%D1%81%D1%82%D0%B2%D0%BE%20-%20%D0%97%D0%B0%20%D0%BA%D0%BE%D1%80%D0%B8%D1%81%D0%BD%D0%B8%D0%BA%D0%B0.pdf?path=Helpers/UserManual" TargetMode="External"/><Relationship Id="rId5" Type="http://schemas.openxmlformats.org/officeDocument/2006/relationships/hyperlink" Target="https://api.transportgas-srbija.rs/assets/godisnji-izvestaj-za-nediskriminatorno-ponasanje-za-2024.-godinu.pdf" TargetMode="External"/><Relationship Id="rId15" Type="http://schemas.openxmlformats.org/officeDocument/2006/relationships/hyperlink" Target="https://www.energy-community.org/dam/jcr:5b4ff2d5-5672-4989-ad81-d7fd9e27a7f7/Serbia_IR25CP.pdf" TargetMode="External"/><Relationship Id="rId10" Type="http://schemas.openxmlformats.org/officeDocument/2006/relationships/hyperlink" Target="https://kp.transportgas-srbija.com/capacity-allocation" TargetMode="External"/><Relationship Id="rId4" Type="http://schemas.openxmlformats.org/officeDocument/2006/relationships/hyperlink" Target="https://api.transportgas-srbija.rs/assets/odluka-saveta-agencije-za-energetiku-republike-srbije-odavanju-saglasnosti-na-pravila-o-radu-(1).pdf" TargetMode="External"/><Relationship Id="rId9" Type="http://schemas.openxmlformats.org/officeDocument/2006/relationships/hyperlink" Target="https://kp.transportgas-srbija.com/Calendar" TargetMode="External"/><Relationship Id="rId14" Type="http://schemas.openxmlformats.org/officeDocument/2006/relationships/hyperlink" Target="https://kp.transportgas-srbija.com/capacity-allo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B2B78-E877-4AB5-9E8A-0A60BC9F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6</Pages>
  <Words>1594</Words>
  <Characters>10635</Characters>
  <Application>Microsoft Office Word</Application>
  <DocSecurity>0</DocSecurity>
  <Lines>265</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Dizdarević</dc:creator>
  <cp:keywords/>
  <dc:description/>
  <cp:lastModifiedBy>Milena Mihajlovic Denic</cp:lastModifiedBy>
  <cp:revision>42</cp:revision>
  <dcterms:created xsi:type="dcterms:W3CDTF">2026-03-27T16:43:00Z</dcterms:created>
  <dcterms:modified xsi:type="dcterms:W3CDTF">2026-04-24T18:36:00Z</dcterms:modified>
</cp:coreProperties>
</file>